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05"/>
        <w:gridCol w:w="396"/>
        <w:gridCol w:w="4108"/>
        <w:gridCol w:w="4077"/>
      </w:tblGrid>
      <w:tr w:rsidR="00EF7A94" w:rsidRPr="00171039" w:rsidTr="00A864F3">
        <w:trPr>
          <w:trHeight w:val="1230"/>
        </w:trPr>
        <w:tc>
          <w:tcPr>
            <w:tcW w:w="1101" w:type="dxa"/>
            <w:gridSpan w:val="2"/>
            <w:noWrap/>
            <w:hideMark/>
          </w:tcPr>
          <w:p w:rsidR="00EF7A94" w:rsidRPr="00171039" w:rsidRDefault="00EF7A94">
            <w:pPr>
              <w:rPr>
                <w:rFonts w:ascii="Times New Roman" w:hAnsi="Times New Roman" w:cs="Times New Roman"/>
              </w:rPr>
            </w:pPr>
            <w:r w:rsidRPr="00171039">
              <w:rPr>
                <w:rFonts w:ascii="Times New Roman" w:hAnsi="Times New Roman" w:cs="Times New Roman"/>
                <w:noProof/>
                <w:lang w:eastAsia="hr-HR"/>
              </w:rPr>
              <w:drawing>
                <wp:anchor distT="0" distB="0" distL="114300" distR="114300" simplePos="0" relativeHeight="251662336" behindDoc="0" locked="0" layoutInCell="1" allowOverlap="1" wp14:anchorId="6F571E8C" wp14:editId="7C3BDC90">
                  <wp:simplePos x="0" y="0"/>
                  <wp:positionH relativeFrom="column">
                    <wp:posOffset>81280</wp:posOffset>
                  </wp:positionH>
                  <wp:positionV relativeFrom="paragraph">
                    <wp:posOffset>74929</wp:posOffset>
                  </wp:positionV>
                  <wp:extent cx="276225" cy="371475"/>
                  <wp:effectExtent l="0" t="0" r="9525" b="9525"/>
                  <wp:wrapNone/>
                  <wp:docPr id="4" name="Slika 4"/>
                  <wp:cNvGraphicFramePr/>
                  <a:graphic xmlns:a="http://schemas.openxmlformats.org/drawingml/2006/main">
                    <a:graphicData uri="http://schemas.openxmlformats.org/drawingml/2006/picture">
                      <pic:pic xmlns:pic="http://schemas.openxmlformats.org/drawingml/2006/picture">
                        <pic:nvPicPr>
                          <pic:cNvPr id="4" name="Slika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371475"/>
                          </a:xfrm>
                          <a:prstGeom prst="rect">
                            <a:avLst/>
                          </a:prstGeom>
                          <a:noFill/>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85"/>
            </w:tblGrid>
            <w:tr w:rsidR="00EF7A94" w:rsidRPr="00171039">
              <w:trPr>
                <w:trHeight w:val="1230"/>
                <w:tblCellSpacing w:w="0" w:type="dxa"/>
              </w:trPr>
              <w:tc>
                <w:tcPr>
                  <w:tcW w:w="920" w:type="dxa"/>
                  <w:tcBorders>
                    <w:top w:val="nil"/>
                    <w:left w:val="nil"/>
                    <w:bottom w:val="nil"/>
                    <w:right w:val="nil"/>
                  </w:tcBorders>
                  <w:shd w:val="clear" w:color="auto" w:fill="auto"/>
                  <w:vAlign w:val="center"/>
                  <w:hideMark/>
                </w:tcPr>
                <w:p w:rsidR="00EF7A94" w:rsidRPr="00171039" w:rsidRDefault="00EF7A94">
                  <w:pPr>
                    <w:rPr>
                      <w:rFonts w:ascii="Times New Roman" w:hAnsi="Times New Roman" w:cs="Times New Roman"/>
                    </w:rPr>
                  </w:pPr>
                  <w:bookmarkStart w:id="0" w:name="RANGE!A1:C15"/>
                  <w:bookmarkEnd w:id="0"/>
                  <w:r w:rsidRPr="00171039">
                    <w:rPr>
                      <w:rFonts w:ascii="Times New Roman" w:hAnsi="Times New Roman" w:cs="Times New Roman"/>
                      <w:noProof/>
                      <w:lang w:eastAsia="hr-HR"/>
                    </w:rPr>
                    <w:drawing>
                      <wp:anchor distT="0" distB="0" distL="114300" distR="114300" simplePos="0" relativeHeight="251663360" behindDoc="0" locked="0" layoutInCell="1" allowOverlap="1" wp14:anchorId="1F897C52" wp14:editId="787320F0">
                        <wp:simplePos x="0" y="0"/>
                        <wp:positionH relativeFrom="column">
                          <wp:posOffset>285115</wp:posOffset>
                        </wp:positionH>
                        <wp:positionV relativeFrom="paragraph">
                          <wp:posOffset>154305</wp:posOffset>
                        </wp:positionV>
                        <wp:extent cx="247650" cy="304800"/>
                        <wp:effectExtent l="0" t="0" r="0" b="0"/>
                        <wp:wrapNone/>
                        <wp:docPr id="5" name="Slika 5" descr="http://web.zpr.fer.hr/ergonomija/2004/hendija/slike/grb_zg.gif"/>
                        <wp:cNvGraphicFramePr/>
                        <a:graphic xmlns:a="http://schemas.openxmlformats.org/drawingml/2006/main">
                          <a:graphicData uri="http://schemas.openxmlformats.org/drawingml/2006/picture">
                            <pic:pic xmlns:pic="http://schemas.openxmlformats.org/drawingml/2006/picture">
                              <pic:nvPicPr>
                                <pic:cNvPr id="5" name="irc_mi" descr="http://web.zpr.fer.hr/ergonomija/2004/hendija/slike/grb_zg.g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extLst/>
                              </pic:spPr>
                            </pic:pic>
                          </a:graphicData>
                        </a:graphic>
                        <wp14:sizeRelH relativeFrom="page">
                          <wp14:pctWidth>0</wp14:pctWidth>
                        </wp14:sizeRelH>
                        <wp14:sizeRelV relativeFrom="page">
                          <wp14:pctHeight>0</wp14:pctHeight>
                        </wp14:sizeRelV>
                      </wp:anchor>
                    </w:drawing>
                  </w:r>
                </w:p>
              </w:tc>
            </w:tr>
          </w:tbl>
          <w:p w:rsidR="00EF7A94" w:rsidRPr="00171039" w:rsidRDefault="00EF7A94">
            <w:pPr>
              <w:rPr>
                <w:rFonts w:ascii="Times New Roman" w:hAnsi="Times New Roman" w:cs="Times New Roman"/>
              </w:rPr>
            </w:pPr>
          </w:p>
        </w:tc>
        <w:tc>
          <w:tcPr>
            <w:tcW w:w="8185" w:type="dxa"/>
            <w:gridSpan w:val="2"/>
            <w:hideMark/>
          </w:tcPr>
          <w:p w:rsidR="00EF7A94" w:rsidRPr="00EF7A94" w:rsidRDefault="00EF7A94">
            <w:pPr>
              <w:rPr>
                <w:rFonts w:ascii="Times New Roman" w:hAnsi="Times New Roman" w:cs="Times New Roman"/>
                <w:iCs/>
              </w:rPr>
            </w:pPr>
            <w:r w:rsidRPr="00EF7A94">
              <w:rPr>
                <w:rFonts w:ascii="Times New Roman" w:hAnsi="Times New Roman" w:cs="Times New Roman"/>
                <w:iCs/>
              </w:rPr>
              <w:t xml:space="preserve">REPUBLIKA HRVATSKA                            </w:t>
            </w:r>
          </w:p>
          <w:p w:rsidR="00EF7A94" w:rsidRPr="00EF7A94" w:rsidRDefault="00EF7A94">
            <w:pPr>
              <w:rPr>
                <w:rFonts w:ascii="Times New Roman" w:hAnsi="Times New Roman" w:cs="Times New Roman"/>
                <w:iCs/>
              </w:rPr>
            </w:pPr>
            <w:r w:rsidRPr="00EF7A94">
              <w:rPr>
                <w:rFonts w:ascii="Times New Roman" w:hAnsi="Times New Roman" w:cs="Times New Roman"/>
                <w:b/>
                <w:bCs/>
                <w:iCs/>
              </w:rPr>
              <w:t xml:space="preserve">GRAD ZAGREB         </w:t>
            </w:r>
            <w:r w:rsidRPr="00EF7A94">
              <w:rPr>
                <w:rFonts w:ascii="Times New Roman" w:hAnsi="Times New Roman" w:cs="Times New Roman"/>
                <w:iCs/>
              </w:rPr>
              <w:t xml:space="preserve">                                      </w:t>
            </w:r>
          </w:p>
          <w:p w:rsidR="00EF7A94" w:rsidRPr="00EF7A94" w:rsidRDefault="00EF7A94">
            <w:pPr>
              <w:rPr>
                <w:rFonts w:ascii="Times New Roman" w:hAnsi="Times New Roman" w:cs="Times New Roman"/>
                <w:iCs/>
              </w:rPr>
            </w:pPr>
            <w:r w:rsidRPr="00EF7A94">
              <w:rPr>
                <w:rFonts w:ascii="Times New Roman" w:hAnsi="Times New Roman" w:cs="Times New Roman"/>
                <w:iCs/>
              </w:rPr>
              <w:t>URED ZA JAVNU NABAVU</w:t>
            </w:r>
          </w:p>
          <w:p w:rsidR="00E73B51" w:rsidRDefault="00E73B51">
            <w:pPr>
              <w:rPr>
                <w:rFonts w:ascii="Times New Roman" w:hAnsi="Times New Roman" w:cs="Times New Roman"/>
                <w:iCs/>
              </w:rPr>
            </w:pPr>
          </w:p>
          <w:p w:rsidR="00EF7A94" w:rsidRPr="00171039" w:rsidRDefault="00EF7A94" w:rsidP="006613EB">
            <w:pPr>
              <w:rPr>
                <w:rFonts w:ascii="Times New Roman" w:hAnsi="Times New Roman" w:cs="Times New Roman"/>
                <w:i/>
                <w:iCs/>
              </w:rPr>
            </w:pPr>
            <w:r w:rsidRPr="00EF7A94">
              <w:rPr>
                <w:rFonts w:ascii="Times New Roman" w:hAnsi="Times New Roman" w:cs="Times New Roman"/>
                <w:iCs/>
              </w:rPr>
              <w:t>U Zagrebu,</w:t>
            </w:r>
            <w:r w:rsidR="00503EDE">
              <w:rPr>
                <w:rFonts w:ascii="Times New Roman" w:hAnsi="Times New Roman" w:cs="Times New Roman"/>
                <w:iCs/>
              </w:rPr>
              <w:t xml:space="preserve"> </w:t>
            </w:r>
            <w:r w:rsidR="009C7AB4">
              <w:rPr>
                <w:rFonts w:ascii="Times New Roman" w:hAnsi="Times New Roman" w:cs="Times New Roman"/>
                <w:iCs/>
              </w:rPr>
              <w:t>2</w:t>
            </w:r>
            <w:r w:rsidR="006613EB">
              <w:rPr>
                <w:rFonts w:ascii="Times New Roman" w:hAnsi="Times New Roman" w:cs="Times New Roman"/>
                <w:iCs/>
              </w:rPr>
              <w:t>9</w:t>
            </w:r>
            <w:bookmarkStart w:id="1" w:name="_GoBack"/>
            <w:bookmarkEnd w:id="1"/>
            <w:r w:rsidR="00EB1383">
              <w:rPr>
                <w:rFonts w:ascii="Times New Roman" w:hAnsi="Times New Roman" w:cs="Times New Roman"/>
                <w:iCs/>
              </w:rPr>
              <w:t>.</w:t>
            </w:r>
            <w:r w:rsidR="000D174D">
              <w:rPr>
                <w:rFonts w:ascii="Times New Roman" w:hAnsi="Times New Roman" w:cs="Times New Roman"/>
                <w:iCs/>
              </w:rPr>
              <w:t xml:space="preserve"> </w:t>
            </w:r>
            <w:r w:rsidR="004F50F6">
              <w:rPr>
                <w:rFonts w:ascii="Times New Roman" w:hAnsi="Times New Roman" w:cs="Times New Roman"/>
                <w:iCs/>
              </w:rPr>
              <w:t>prosinca</w:t>
            </w:r>
            <w:r w:rsidR="00E73B51">
              <w:rPr>
                <w:rFonts w:ascii="Times New Roman" w:hAnsi="Times New Roman" w:cs="Times New Roman"/>
                <w:iCs/>
              </w:rPr>
              <w:t xml:space="preserve"> 2017.</w:t>
            </w:r>
          </w:p>
        </w:tc>
      </w:tr>
      <w:tr w:rsidR="00171039" w:rsidRPr="00171039" w:rsidTr="00A864F3">
        <w:trPr>
          <w:trHeight w:val="1230"/>
        </w:trPr>
        <w:tc>
          <w:tcPr>
            <w:tcW w:w="9286" w:type="dxa"/>
            <w:gridSpan w:val="4"/>
            <w:vAlign w:val="center"/>
            <w:hideMark/>
          </w:tcPr>
          <w:p w:rsidR="0008171A" w:rsidRPr="0008171A" w:rsidRDefault="0008171A" w:rsidP="0008171A">
            <w:pPr>
              <w:jc w:val="center"/>
              <w:rPr>
                <w:rFonts w:ascii="Times New Roman" w:hAnsi="Times New Roman" w:cs="Times New Roman"/>
              </w:rPr>
            </w:pPr>
          </w:p>
          <w:p w:rsidR="0008171A" w:rsidRPr="00222CDF" w:rsidRDefault="0008171A" w:rsidP="0008171A">
            <w:pPr>
              <w:jc w:val="center"/>
              <w:rPr>
                <w:rFonts w:ascii="Times New Roman" w:hAnsi="Times New Roman" w:cs="Times New Roman"/>
                <w:color w:val="FF0000"/>
              </w:rPr>
            </w:pPr>
            <w:r w:rsidRPr="0008171A">
              <w:rPr>
                <w:rFonts w:ascii="Times New Roman" w:hAnsi="Times New Roman" w:cs="Times New Roman"/>
              </w:rPr>
              <w:t xml:space="preserve">Na temelju članka 198. Zakona o javnoj nabavi (NN br. 120/2016), </w:t>
            </w:r>
            <w:r w:rsidR="004F50F6" w:rsidRPr="004F50F6">
              <w:rPr>
                <w:rFonts w:ascii="Times New Roman" w:hAnsi="Times New Roman" w:cs="Times New Roman"/>
              </w:rPr>
              <w:t>Grad Zagreb kao Središnje tijelo za javnu nabavu a za naručitelje navedene u točki 1. nacrta dokumentacije o nabavi</w:t>
            </w:r>
            <w:r w:rsidR="004F50F6">
              <w:rPr>
                <w:rFonts w:ascii="Times New Roman" w:hAnsi="Times New Roman" w:cs="Times New Roman"/>
              </w:rPr>
              <w:t>, a</w:t>
            </w:r>
            <w:r w:rsidR="004F50F6" w:rsidRPr="004F50F6">
              <w:rPr>
                <w:rFonts w:ascii="Times New Roman" w:hAnsi="Times New Roman" w:cs="Times New Roman"/>
              </w:rPr>
              <w:t xml:space="preserve"> </w:t>
            </w:r>
            <w:r w:rsidRPr="0008171A">
              <w:rPr>
                <w:rFonts w:ascii="Times New Roman" w:hAnsi="Times New Roman" w:cs="Times New Roman"/>
              </w:rPr>
              <w:t xml:space="preserve">nastavno na objavljeni nacrt Dokumentacije o nabavi za predmet nabave </w:t>
            </w:r>
            <w:r w:rsidR="004F50F6" w:rsidRPr="004F50F6">
              <w:rPr>
                <w:rFonts w:ascii="Times New Roman" w:hAnsi="Times New Roman" w:cs="Times New Roman"/>
                <w:b/>
                <w:color w:val="000000" w:themeColor="text1"/>
              </w:rPr>
              <w:t>Elektroničke komunikacijske usluge u nepokretnoj mreži</w:t>
            </w:r>
            <w:r w:rsidR="00383570" w:rsidRPr="00383570">
              <w:rPr>
                <w:rFonts w:ascii="Times New Roman" w:hAnsi="Times New Roman" w:cs="Times New Roman"/>
                <w:b/>
                <w:color w:val="000000" w:themeColor="text1"/>
              </w:rPr>
              <w:t xml:space="preserve">, </w:t>
            </w:r>
            <w:r w:rsidR="00383570" w:rsidRPr="00383570">
              <w:rPr>
                <w:rFonts w:ascii="Times New Roman" w:hAnsi="Times New Roman" w:cs="Times New Roman"/>
                <w:color w:val="000000" w:themeColor="text1"/>
              </w:rPr>
              <w:t>evidencijski broj nabave</w:t>
            </w:r>
            <w:r w:rsidR="00383570" w:rsidRPr="00383570">
              <w:rPr>
                <w:rFonts w:ascii="Times New Roman" w:hAnsi="Times New Roman" w:cs="Times New Roman"/>
                <w:b/>
                <w:color w:val="000000" w:themeColor="text1"/>
              </w:rPr>
              <w:t xml:space="preserve">: </w:t>
            </w:r>
            <w:r w:rsidR="004F50F6">
              <w:rPr>
                <w:rFonts w:ascii="Times New Roman" w:hAnsi="Times New Roman" w:cs="Times New Roman"/>
                <w:b/>
                <w:color w:val="000000" w:themeColor="text1"/>
              </w:rPr>
              <w:t>Z-2017-2</w:t>
            </w:r>
            <w:r w:rsidR="00383570" w:rsidRPr="00383570">
              <w:rPr>
                <w:rFonts w:ascii="Times New Roman" w:hAnsi="Times New Roman" w:cs="Times New Roman"/>
                <w:b/>
                <w:color w:val="000000" w:themeColor="text1"/>
              </w:rPr>
              <w:t xml:space="preserve"> </w:t>
            </w:r>
            <w:r w:rsidR="00383570" w:rsidRPr="00383570">
              <w:rPr>
                <w:rFonts w:ascii="Times New Roman" w:hAnsi="Times New Roman" w:cs="Times New Roman"/>
                <w:color w:val="000000" w:themeColor="text1"/>
              </w:rPr>
              <w:t>objavljuje</w:t>
            </w:r>
          </w:p>
          <w:p w:rsidR="00A97147" w:rsidRPr="00171039" w:rsidRDefault="00A97147" w:rsidP="00CD6B24">
            <w:pPr>
              <w:jc w:val="center"/>
              <w:rPr>
                <w:rFonts w:ascii="Times New Roman" w:hAnsi="Times New Roman" w:cs="Times New Roman"/>
              </w:rPr>
            </w:pPr>
          </w:p>
        </w:tc>
      </w:tr>
      <w:tr w:rsidR="00171039" w:rsidRPr="00171039" w:rsidTr="00A864F3">
        <w:trPr>
          <w:trHeight w:val="677"/>
        </w:trPr>
        <w:tc>
          <w:tcPr>
            <w:tcW w:w="9286" w:type="dxa"/>
            <w:gridSpan w:val="4"/>
            <w:vAlign w:val="center"/>
            <w:hideMark/>
          </w:tcPr>
          <w:p w:rsidR="00171039" w:rsidRPr="00171039" w:rsidRDefault="00171039" w:rsidP="00171039">
            <w:pPr>
              <w:jc w:val="center"/>
              <w:rPr>
                <w:rFonts w:ascii="Times New Roman" w:hAnsi="Times New Roman" w:cs="Times New Roman"/>
                <w:b/>
                <w:bCs/>
              </w:rPr>
            </w:pPr>
            <w:r w:rsidRPr="00171039">
              <w:rPr>
                <w:rFonts w:ascii="Times New Roman" w:hAnsi="Times New Roman" w:cs="Times New Roman"/>
                <w:b/>
                <w:bCs/>
              </w:rPr>
              <w:t>Izvješće o prethodnom savjetovanju u odnosu na Nacrt Dokumentacije o nabavi</w:t>
            </w:r>
          </w:p>
        </w:tc>
      </w:tr>
      <w:tr w:rsidR="00CB72C6" w:rsidRPr="00171039" w:rsidTr="00A864F3">
        <w:trPr>
          <w:trHeight w:val="795"/>
        </w:trPr>
        <w:tc>
          <w:tcPr>
            <w:tcW w:w="705" w:type="dxa"/>
            <w:noWrap/>
            <w:vAlign w:val="center"/>
            <w:hideMark/>
          </w:tcPr>
          <w:p w:rsidR="00CB72C6" w:rsidRPr="00171039" w:rsidRDefault="00CB72C6" w:rsidP="00EF3B04">
            <w:pPr>
              <w:jc w:val="center"/>
              <w:rPr>
                <w:rFonts w:ascii="Times New Roman" w:hAnsi="Times New Roman" w:cs="Times New Roman"/>
                <w:b/>
                <w:bCs/>
              </w:rPr>
            </w:pPr>
            <w:r w:rsidRPr="00171039">
              <w:rPr>
                <w:rFonts w:ascii="Times New Roman" w:hAnsi="Times New Roman" w:cs="Times New Roman"/>
                <w:b/>
                <w:bCs/>
              </w:rPr>
              <w:t>R.br.</w:t>
            </w:r>
          </w:p>
        </w:tc>
        <w:tc>
          <w:tcPr>
            <w:tcW w:w="4504" w:type="dxa"/>
            <w:gridSpan w:val="2"/>
            <w:vAlign w:val="center"/>
            <w:hideMark/>
          </w:tcPr>
          <w:p w:rsidR="00CB72C6" w:rsidRPr="00171039" w:rsidRDefault="00CB72C6" w:rsidP="00EF3B04">
            <w:pPr>
              <w:jc w:val="center"/>
              <w:rPr>
                <w:rFonts w:ascii="Times New Roman" w:hAnsi="Times New Roman" w:cs="Times New Roman"/>
                <w:b/>
                <w:bCs/>
              </w:rPr>
            </w:pPr>
            <w:r w:rsidRPr="00171039">
              <w:rPr>
                <w:rFonts w:ascii="Times New Roman" w:hAnsi="Times New Roman" w:cs="Times New Roman"/>
                <w:b/>
                <w:bCs/>
              </w:rPr>
              <w:t>Primjedbe i prijedlozi gospodarskih subjekata</w:t>
            </w:r>
          </w:p>
        </w:tc>
        <w:tc>
          <w:tcPr>
            <w:tcW w:w="4077" w:type="dxa"/>
            <w:vAlign w:val="center"/>
            <w:hideMark/>
          </w:tcPr>
          <w:p w:rsidR="00CB72C6" w:rsidRPr="00171039" w:rsidRDefault="00CB72C6" w:rsidP="00EF3B04">
            <w:pPr>
              <w:jc w:val="center"/>
              <w:rPr>
                <w:rFonts w:ascii="Times New Roman" w:hAnsi="Times New Roman" w:cs="Times New Roman"/>
                <w:b/>
                <w:bCs/>
              </w:rPr>
            </w:pPr>
            <w:r w:rsidRPr="00171039">
              <w:rPr>
                <w:rFonts w:ascii="Times New Roman" w:hAnsi="Times New Roman" w:cs="Times New Roman"/>
                <w:b/>
                <w:bCs/>
              </w:rPr>
              <w:t>Izvješće o prihvaćenim i neprihvaćenim primjedbama i prijedlozima</w:t>
            </w:r>
          </w:p>
        </w:tc>
      </w:tr>
      <w:tr w:rsidR="00CB72C6" w:rsidRPr="00171039" w:rsidTr="00A864F3">
        <w:trPr>
          <w:trHeight w:val="1965"/>
        </w:trPr>
        <w:tc>
          <w:tcPr>
            <w:tcW w:w="705" w:type="dxa"/>
            <w:vMerge w:val="restart"/>
            <w:noWrap/>
          </w:tcPr>
          <w:p w:rsidR="00CB72C6" w:rsidRPr="00171039" w:rsidRDefault="00EF3B04" w:rsidP="00EF3B04">
            <w:pPr>
              <w:rPr>
                <w:rFonts w:ascii="Times New Roman" w:hAnsi="Times New Roman" w:cs="Times New Roman"/>
              </w:rPr>
            </w:pPr>
            <w:r>
              <w:rPr>
                <w:rFonts w:ascii="Times New Roman" w:hAnsi="Times New Roman" w:cs="Times New Roman"/>
              </w:rPr>
              <w:t>1.</w:t>
            </w:r>
          </w:p>
        </w:tc>
        <w:tc>
          <w:tcPr>
            <w:tcW w:w="4504" w:type="dxa"/>
            <w:gridSpan w:val="2"/>
            <w:vMerge w:val="restart"/>
          </w:tcPr>
          <w:p w:rsidR="000A61C1" w:rsidRDefault="000A61C1" w:rsidP="000A61C1">
            <w:pPr>
              <w:pStyle w:val="Default"/>
            </w:pPr>
            <w:r>
              <w:t>Molimo pojašnjenje za uslugu ISDN BRA:</w:t>
            </w:r>
          </w:p>
          <w:p w:rsidR="000A61C1" w:rsidRDefault="000A61C1" w:rsidP="000A61C1">
            <w:pPr>
              <w:pStyle w:val="Default"/>
            </w:pPr>
          </w:p>
          <w:p w:rsidR="000A61C1" w:rsidRDefault="000A61C1" w:rsidP="000A61C1">
            <w:pPr>
              <w:pStyle w:val="Default"/>
            </w:pPr>
            <w:r>
              <w:t>1.      Za svaku lokaciju u tablici iz Priloga 2 gdje se traži ISDN BRA priključak treba navesti:</w:t>
            </w:r>
          </w:p>
          <w:p w:rsidR="000A61C1" w:rsidRDefault="000A61C1" w:rsidP="000A61C1">
            <w:pPr>
              <w:pStyle w:val="Default"/>
            </w:pPr>
          </w:p>
          <w:p w:rsidR="000A61C1" w:rsidRDefault="000A61C1" w:rsidP="000A61C1">
            <w:pPr>
              <w:pStyle w:val="Default"/>
            </w:pPr>
            <w:r>
              <w:t xml:space="preserve">  </w:t>
            </w:r>
            <w:r w:rsidR="0027615B">
              <w:t>-</w:t>
            </w:r>
            <w:r>
              <w:t xml:space="preserve">  količinu telefonskih brojeva koji se koriste</w:t>
            </w:r>
          </w:p>
          <w:p w:rsidR="000A61C1" w:rsidRDefault="000A61C1" w:rsidP="000A61C1">
            <w:pPr>
              <w:pStyle w:val="Default"/>
            </w:pPr>
            <w:r>
              <w:t xml:space="preserve">  </w:t>
            </w:r>
            <w:r w:rsidR="0027615B">
              <w:t>-</w:t>
            </w:r>
            <w:r>
              <w:t xml:space="preserve">  broj kanala koji se putem BRA sučelja spajaju na centralu korisnika</w:t>
            </w:r>
          </w:p>
          <w:p w:rsidR="000A61C1" w:rsidRDefault="000A61C1" w:rsidP="000A61C1">
            <w:pPr>
              <w:pStyle w:val="Default"/>
            </w:pPr>
          </w:p>
          <w:p w:rsidR="000A61C1" w:rsidRDefault="000A61C1" w:rsidP="000A61C1">
            <w:pPr>
              <w:pStyle w:val="Default"/>
            </w:pPr>
            <w:r>
              <w:t>2.      Potrebno je pojašnjenje za IP telefonski priključak</w:t>
            </w:r>
          </w:p>
          <w:p w:rsidR="000A61C1" w:rsidRDefault="000A61C1" w:rsidP="000A61C1">
            <w:pPr>
              <w:pStyle w:val="Default"/>
            </w:pPr>
          </w:p>
          <w:p w:rsidR="000A61C1" w:rsidRDefault="000A61C1" w:rsidP="000A61C1">
            <w:pPr>
              <w:pStyle w:val="Default"/>
            </w:pPr>
            <w:r>
              <w:t>Za svaku lokaciju u tablici iz Priloga 2 gdje se traže IP telefoni i ATA uređaji treba navesti:</w:t>
            </w:r>
          </w:p>
          <w:p w:rsidR="000A61C1" w:rsidRDefault="000A61C1" w:rsidP="000A61C1">
            <w:pPr>
              <w:pStyle w:val="Default"/>
            </w:pPr>
          </w:p>
          <w:p w:rsidR="000A61C1" w:rsidRDefault="000A61C1" w:rsidP="000A61C1">
            <w:pPr>
              <w:pStyle w:val="Default"/>
            </w:pPr>
            <w:r>
              <w:t xml:space="preserve">    Koliko kanala treba spojiti na lokaciji (na koju se spaja IP usluga)</w:t>
            </w:r>
          </w:p>
          <w:p w:rsidR="000A61C1" w:rsidRDefault="000A61C1" w:rsidP="000A61C1">
            <w:pPr>
              <w:pStyle w:val="Default"/>
            </w:pPr>
            <w:r>
              <w:t xml:space="preserve">    Koliko brojeva se spaja na ATA uređaj</w:t>
            </w:r>
          </w:p>
          <w:p w:rsidR="00096F73" w:rsidRPr="00171039" w:rsidRDefault="000A61C1" w:rsidP="000A61C1">
            <w:pPr>
              <w:pStyle w:val="Default"/>
            </w:pPr>
            <w:r>
              <w:t xml:space="preserve">    Potrebno je i pojašnjenje iz kojeg razloga je sada u dokumentaciji navedeno primjerice 2575 IP telefona i 100 ATA uređaja a samo 1150 IP telefonskih priključaka, nije jasno u kakvoj su korelaciji te stavke</w:t>
            </w:r>
          </w:p>
        </w:tc>
        <w:tc>
          <w:tcPr>
            <w:tcW w:w="4077" w:type="dxa"/>
            <w:vMerge w:val="restart"/>
            <w:noWrap/>
          </w:tcPr>
          <w:p w:rsidR="00EA03A0" w:rsidRDefault="00EA03A0" w:rsidP="00222CDF">
            <w:pPr>
              <w:jc w:val="both"/>
              <w:rPr>
                <w:rFonts w:ascii="Times New Roman" w:hAnsi="Times New Roman" w:cs="Times New Roman"/>
              </w:rPr>
            </w:pPr>
          </w:p>
          <w:p w:rsidR="00864E2D" w:rsidRDefault="00F65DF6" w:rsidP="00222CDF">
            <w:pPr>
              <w:jc w:val="both"/>
              <w:rPr>
                <w:rFonts w:ascii="Times New Roman" w:hAnsi="Times New Roman" w:cs="Times New Roman"/>
              </w:rPr>
            </w:pPr>
            <w:r>
              <w:rPr>
                <w:rFonts w:ascii="Times New Roman" w:hAnsi="Times New Roman" w:cs="Times New Roman"/>
              </w:rPr>
              <w:t>1Pojašnjenje:</w:t>
            </w:r>
          </w:p>
          <w:p w:rsidR="00864E2D" w:rsidRDefault="00864E2D" w:rsidP="00864E2D">
            <w:pPr>
              <w:jc w:val="both"/>
              <w:rPr>
                <w:rFonts w:ascii="Times New Roman" w:hAnsi="Times New Roman" w:cs="Times New Roman"/>
              </w:rPr>
            </w:pPr>
            <w:r>
              <w:rPr>
                <w:rFonts w:ascii="Times New Roman" w:hAnsi="Times New Roman" w:cs="Times New Roman"/>
              </w:rPr>
              <w:t xml:space="preserve">- svaki ISDN BRA priključak naveden u Prilogu 2) koristiti će se za spajanje na </w:t>
            </w:r>
            <w:proofErr w:type="spellStart"/>
            <w:r w:rsidRPr="00864E2D">
              <w:rPr>
                <w:rFonts w:ascii="Times New Roman" w:hAnsi="Times New Roman" w:cs="Times New Roman"/>
                <w:lang w:val="en-GB"/>
              </w:rPr>
              <w:t>ku</w:t>
            </w:r>
            <w:proofErr w:type="spellEnd"/>
            <w:r w:rsidRPr="00864E2D">
              <w:rPr>
                <w:rFonts w:ascii="Times New Roman" w:hAnsi="Times New Roman" w:cs="Times New Roman"/>
              </w:rPr>
              <w:t>ć</w:t>
            </w:r>
            <w:r w:rsidRPr="00864E2D">
              <w:rPr>
                <w:rFonts w:ascii="Times New Roman" w:hAnsi="Times New Roman" w:cs="Times New Roman"/>
                <w:lang w:val="en-GB"/>
              </w:rPr>
              <w:t>nu</w:t>
            </w:r>
            <w:r w:rsidRPr="00864E2D">
              <w:rPr>
                <w:rFonts w:ascii="Times New Roman" w:hAnsi="Times New Roman" w:cs="Times New Roman"/>
              </w:rPr>
              <w:t xml:space="preserve"> </w:t>
            </w:r>
            <w:proofErr w:type="spellStart"/>
            <w:r w:rsidRPr="00864E2D">
              <w:rPr>
                <w:rFonts w:ascii="Times New Roman" w:hAnsi="Times New Roman" w:cs="Times New Roman"/>
                <w:lang w:val="en-GB"/>
              </w:rPr>
              <w:t>centralu</w:t>
            </w:r>
            <w:proofErr w:type="spellEnd"/>
            <w:r w:rsidRPr="00864E2D">
              <w:rPr>
                <w:rFonts w:ascii="Times New Roman" w:hAnsi="Times New Roman" w:cs="Times New Roman"/>
              </w:rPr>
              <w:t xml:space="preserve"> </w:t>
            </w:r>
            <w:r>
              <w:rPr>
                <w:rFonts w:ascii="Times New Roman" w:hAnsi="Times New Roman" w:cs="Times New Roman"/>
              </w:rPr>
              <w:t xml:space="preserve">korisnika </w:t>
            </w:r>
            <w:r w:rsidRPr="00864E2D">
              <w:rPr>
                <w:rFonts w:ascii="Times New Roman" w:hAnsi="Times New Roman" w:cs="Times New Roman"/>
                <w:lang w:val="en-GB"/>
              </w:rPr>
              <w:t>s</w:t>
            </w:r>
            <w:r w:rsidRPr="00864E2D">
              <w:rPr>
                <w:rFonts w:ascii="Times New Roman" w:hAnsi="Times New Roman" w:cs="Times New Roman"/>
              </w:rPr>
              <w:t xml:space="preserve"> </w:t>
            </w:r>
            <w:r w:rsidR="00D56F65">
              <w:rPr>
                <w:rFonts w:ascii="Times New Roman" w:hAnsi="Times New Roman" w:cs="Times New Roman"/>
              </w:rPr>
              <w:t xml:space="preserve">uslugom </w:t>
            </w:r>
            <w:proofErr w:type="spellStart"/>
            <w:r w:rsidRPr="00864E2D">
              <w:rPr>
                <w:rFonts w:ascii="Times New Roman" w:hAnsi="Times New Roman" w:cs="Times New Roman"/>
                <w:lang w:val="en-GB"/>
              </w:rPr>
              <w:t>prolazno</w:t>
            </w:r>
            <w:r w:rsidR="00D56F65">
              <w:rPr>
                <w:rFonts w:ascii="Times New Roman" w:hAnsi="Times New Roman" w:cs="Times New Roman"/>
                <w:lang w:val="en-GB"/>
              </w:rPr>
              <w:t>g</w:t>
            </w:r>
            <w:proofErr w:type="spellEnd"/>
            <w:r w:rsidRPr="00864E2D">
              <w:rPr>
                <w:rFonts w:ascii="Times New Roman" w:hAnsi="Times New Roman" w:cs="Times New Roman"/>
              </w:rPr>
              <w:t xml:space="preserve"> </w:t>
            </w:r>
            <w:proofErr w:type="spellStart"/>
            <w:r w:rsidRPr="00864E2D">
              <w:rPr>
                <w:rFonts w:ascii="Times New Roman" w:hAnsi="Times New Roman" w:cs="Times New Roman"/>
                <w:lang w:val="en-GB"/>
              </w:rPr>
              <w:t>biranj</w:t>
            </w:r>
            <w:r w:rsidR="00D56F65">
              <w:rPr>
                <w:rFonts w:ascii="Times New Roman" w:hAnsi="Times New Roman" w:cs="Times New Roman"/>
                <w:lang w:val="en-GB"/>
              </w:rPr>
              <w:t>a</w:t>
            </w:r>
            <w:proofErr w:type="spellEnd"/>
            <w:r>
              <w:rPr>
                <w:rFonts w:ascii="Times New Roman" w:hAnsi="Times New Roman" w:cs="Times New Roman"/>
                <w:lang w:val="en-GB"/>
              </w:rPr>
              <w:t xml:space="preserve"> (</w:t>
            </w:r>
            <w:r w:rsidRPr="00864E2D">
              <w:rPr>
                <w:rFonts w:ascii="Times New Roman" w:hAnsi="Times New Roman" w:cs="Times New Roman"/>
              </w:rPr>
              <w:t xml:space="preserve">10 </w:t>
            </w:r>
            <w:r w:rsidRPr="00864E2D">
              <w:rPr>
                <w:rFonts w:ascii="Times New Roman" w:hAnsi="Times New Roman" w:cs="Times New Roman"/>
                <w:lang w:val="en-GB"/>
              </w:rPr>
              <w:t>DDI</w:t>
            </w:r>
            <w:r w:rsidRPr="00864E2D">
              <w:rPr>
                <w:rFonts w:ascii="Times New Roman" w:hAnsi="Times New Roman" w:cs="Times New Roman"/>
              </w:rPr>
              <w:t xml:space="preserve"> </w:t>
            </w:r>
            <w:proofErr w:type="spellStart"/>
            <w:r w:rsidRPr="00864E2D">
              <w:rPr>
                <w:rFonts w:ascii="Times New Roman" w:hAnsi="Times New Roman" w:cs="Times New Roman"/>
                <w:lang w:val="en-GB"/>
              </w:rPr>
              <w:t>po</w:t>
            </w:r>
            <w:proofErr w:type="spellEnd"/>
            <w:r w:rsidRPr="00864E2D">
              <w:rPr>
                <w:rFonts w:ascii="Times New Roman" w:hAnsi="Times New Roman" w:cs="Times New Roman"/>
              </w:rPr>
              <w:t xml:space="preserve"> </w:t>
            </w:r>
            <w:proofErr w:type="spellStart"/>
            <w:r w:rsidRPr="00864E2D">
              <w:rPr>
                <w:rFonts w:ascii="Times New Roman" w:hAnsi="Times New Roman" w:cs="Times New Roman"/>
                <w:lang w:val="en-GB"/>
              </w:rPr>
              <w:t>jednom</w:t>
            </w:r>
            <w:proofErr w:type="spellEnd"/>
            <w:r w:rsidRPr="00864E2D">
              <w:rPr>
                <w:rFonts w:ascii="Times New Roman" w:hAnsi="Times New Roman" w:cs="Times New Roman"/>
              </w:rPr>
              <w:t xml:space="preserve"> </w:t>
            </w:r>
            <w:r w:rsidRPr="00864E2D">
              <w:rPr>
                <w:rFonts w:ascii="Times New Roman" w:hAnsi="Times New Roman" w:cs="Times New Roman"/>
                <w:lang w:val="en-GB"/>
              </w:rPr>
              <w:t>BRA</w:t>
            </w:r>
            <w:r w:rsidR="005C763B">
              <w:rPr>
                <w:rFonts w:ascii="Times New Roman" w:hAnsi="Times New Roman" w:cs="Times New Roman"/>
                <w:lang w:val="en-GB"/>
              </w:rPr>
              <w:t xml:space="preserve"> </w:t>
            </w:r>
            <w:proofErr w:type="spellStart"/>
            <w:r w:rsidR="005C763B">
              <w:rPr>
                <w:rFonts w:ascii="Times New Roman" w:hAnsi="Times New Roman" w:cs="Times New Roman"/>
                <w:lang w:val="en-GB"/>
              </w:rPr>
              <w:t>priključku</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točka-točka</w:t>
            </w:r>
            <w:proofErr w:type="spellEnd"/>
            <w:r w:rsidRPr="00864E2D">
              <w:rPr>
                <w:rFonts w:ascii="Times New Roman" w:hAnsi="Times New Roman" w:cs="Times New Roman"/>
              </w:rPr>
              <w:t>)</w:t>
            </w:r>
          </w:p>
          <w:p w:rsidR="00864E2D" w:rsidRDefault="00AB386E" w:rsidP="00864E2D">
            <w:pPr>
              <w:jc w:val="both"/>
              <w:rPr>
                <w:rFonts w:ascii="Times New Roman" w:hAnsi="Times New Roman" w:cs="Times New Roman"/>
              </w:rPr>
            </w:pPr>
            <w:r>
              <w:rPr>
                <w:rFonts w:ascii="Times New Roman" w:hAnsi="Times New Roman" w:cs="Times New Roman"/>
              </w:rPr>
              <w:t xml:space="preserve">Pojašnjenje je uvršteno u DON također je sukladno istome usklađen prilog 2 </w:t>
            </w:r>
          </w:p>
          <w:p w:rsidR="00864E2D" w:rsidRDefault="00864E2D" w:rsidP="00864E2D">
            <w:pPr>
              <w:jc w:val="both"/>
              <w:rPr>
                <w:rFonts w:ascii="Times New Roman" w:hAnsi="Times New Roman" w:cs="Times New Roman"/>
              </w:rPr>
            </w:pPr>
            <w:r>
              <w:rPr>
                <w:rFonts w:ascii="Times New Roman" w:hAnsi="Times New Roman" w:cs="Times New Roman"/>
              </w:rPr>
              <w:t>-</w:t>
            </w:r>
            <w:r w:rsidRPr="00864E2D">
              <w:rPr>
                <w:rFonts w:ascii="Times New Roman" w:hAnsi="Times New Roman" w:cs="Times New Roman"/>
              </w:rPr>
              <w:t xml:space="preserve">jedan </w:t>
            </w:r>
            <w:r w:rsidR="00F55995">
              <w:rPr>
                <w:rFonts w:ascii="Times New Roman" w:hAnsi="Times New Roman" w:cs="Times New Roman"/>
              </w:rPr>
              <w:t xml:space="preserve">ISDN </w:t>
            </w:r>
            <w:r w:rsidRPr="00864E2D">
              <w:rPr>
                <w:rFonts w:ascii="Times New Roman" w:hAnsi="Times New Roman" w:cs="Times New Roman"/>
              </w:rPr>
              <w:t>BRA priključak ima 2 kanala (u</w:t>
            </w:r>
            <w:r w:rsidR="00F55995">
              <w:rPr>
                <w:rFonts w:ascii="Times New Roman" w:hAnsi="Times New Roman" w:cs="Times New Roman"/>
              </w:rPr>
              <w:t xml:space="preserve"> Prilogu2 i Troškovniku navedene</w:t>
            </w:r>
            <w:r w:rsidRPr="00864E2D">
              <w:rPr>
                <w:rFonts w:ascii="Times New Roman" w:hAnsi="Times New Roman" w:cs="Times New Roman"/>
              </w:rPr>
              <w:t xml:space="preserve"> su </w:t>
            </w:r>
            <w:r w:rsidR="00F55995">
              <w:rPr>
                <w:rFonts w:ascii="Times New Roman" w:hAnsi="Times New Roman" w:cs="Times New Roman"/>
              </w:rPr>
              <w:t>količine ISDN BRA priključaka</w:t>
            </w:r>
            <w:r>
              <w:rPr>
                <w:rFonts w:ascii="Times New Roman" w:hAnsi="Times New Roman" w:cs="Times New Roman"/>
              </w:rPr>
              <w:t xml:space="preserve"> a svaki ima 2 kanala</w:t>
            </w:r>
            <w:r w:rsidRPr="00864E2D">
              <w:rPr>
                <w:rFonts w:ascii="Times New Roman" w:hAnsi="Times New Roman" w:cs="Times New Roman"/>
              </w:rPr>
              <w:t>)</w:t>
            </w:r>
          </w:p>
          <w:p w:rsidR="00864E2D" w:rsidRDefault="00864E2D" w:rsidP="00864E2D">
            <w:pPr>
              <w:rPr>
                <w:rFonts w:ascii="Times New Roman" w:hAnsi="Times New Roman" w:cs="Times New Roman"/>
              </w:rPr>
            </w:pPr>
          </w:p>
          <w:p w:rsidR="00864E2D" w:rsidRDefault="00864E2D" w:rsidP="00864E2D">
            <w:pPr>
              <w:rPr>
                <w:rFonts w:ascii="Times New Roman" w:hAnsi="Times New Roman" w:cs="Times New Roman"/>
              </w:rPr>
            </w:pPr>
            <w:r>
              <w:rPr>
                <w:rFonts w:ascii="Times New Roman" w:hAnsi="Times New Roman" w:cs="Times New Roman"/>
              </w:rPr>
              <w:t xml:space="preserve">2. </w:t>
            </w:r>
            <w:r w:rsidR="00F65DF6">
              <w:rPr>
                <w:rFonts w:ascii="Times New Roman" w:hAnsi="Times New Roman" w:cs="Times New Roman"/>
              </w:rPr>
              <w:t>Pojašnjenje:</w:t>
            </w:r>
          </w:p>
          <w:p w:rsidR="007A4D6A" w:rsidRDefault="007A4D6A" w:rsidP="00864E2D">
            <w:pPr>
              <w:rPr>
                <w:rFonts w:ascii="Times New Roman" w:hAnsi="Times New Roman" w:cs="Times New Roman"/>
              </w:rPr>
            </w:pPr>
          </w:p>
          <w:p w:rsidR="00C84F8E" w:rsidRPr="001C2A5A" w:rsidRDefault="00C84F8E" w:rsidP="00C84F8E">
            <w:pPr>
              <w:widowControl w:val="0"/>
              <w:suppressAutoHyphens/>
              <w:autoSpaceDE w:val="0"/>
              <w:contextualSpacing/>
              <w:jc w:val="both"/>
              <w:rPr>
                <w:rFonts w:ascii="Times New Roman" w:hAnsi="Times New Roman"/>
                <w:bCs/>
              </w:rPr>
            </w:pPr>
            <w:r>
              <w:rPr>
                <w:rFonts w:ascii="Times New Roman" w:hAnsi="Times New Roman" w:cs="Times New Roman"/>
              </w:rPr>
              <w:t>-</w:t>
            </w:r>
            <w:r w:rsidRPr="001C2A5A">
              <w:rPr>
                <w:rFonts w:ascii="Times New Roman" w:hAnsi="Times New Roman"/>
                <w:bCs/>
              </w:rPr>
              <w:t xml:space="preserve">za </w:t>
            </w:r>
            <w:r>
              <w:rPr>
                <w:rFonts w:ascii="Times New Roman" w:hAnsi="Times New Roman"/>
                <w:bCs/>
              </w:rPr>
              <w:t xml:space="preserve">svaki </w:t>
            </w:r>
            <w:proofErr w:type="spellStart"/>
            <w:r>
              <w:rPr>
                <w:rFonts w:ascii="Times New Roman" w:hAnsi="Times New Roman"/>
                <w:bCs/>
              </w:rPr>
              <w:t>VoIP</w:t>
            </w:r>
            <w:proofErr w:type="spellEnd"/>
            <w:r>
              <w:rPr>
                <w:rFonts w:ascii="Times New Roman" w:hAnsi="Times New Roman"/>
                <w:bCs/>
              </w:rPr>
              <w:t xml:space="preserve"> IP priključak gdje je spojen IP telefon</w:t>
            </w:r>
            <w:r w:rsidR="00582F20">
              <w:rPr>
                <w:rFonts w:ascii="Times New Roman" w:hAnsi="Times New Roman"/>
                <w:bCs/>
              </w:rPr>
              <w:t xml:space="preserve"> ili ATA uređaj</w:t>
            </w:r>
            <w:r>
              <w:rPr>
                <w:rFonts w:ascii="Times New Roman" w:hAnsi="Times New Roman"/>
                <w:bCs/>
              </w:rPr>
              <w:t xml:space="preserve"> potrebno je osigurati jedan govorni kanal a propusnost govornog </w:t>
            </w:r>
            <w:r w:rsidRPr="001C2A5A">
              <w:rPr>
                <w:rFonts w:ascii="Times New Roman" w:hAnsi="Times New Roman"/>
                <w:bCs/>
              </w:rPr>
              <w:t xml:space="preserve">kanala </w:t>
            </w:r>
            <w:r>
              <w:rPr>
                <w:rFonts w:ascii="Times New Roman" w:hAnsi="Times New Roman"/>
                <w:bCs/>
              </w:rPr>
              <w:t xml:space="preserve">je </w:t>
            </w:r>
            <w:r w:rsidRPr="001C2A5A">
              <w:rPr>
                <w:rFonts w:ascii="Times New Roman" w:hAnsi="Times New Roman"/>
                <w:bCs/>
              </w:rPr>
              <w:t>minimalno</w:t>
            </w:r>
            <w:r>
              <w:rPr>
                <w:rFonts w:ascii="Times New Roman" w:hAnsi="Times New Roman"/>
                <w:bCs/>
              </w:rPr>
              <w:t xml:space="preserve"> </w:t>
            </w:r>
            <w:r w:rsidRPr="001C2A5A">
              <w:rPr>
                <w:rFonts w:ascii="Times New Roman" w:hAnsi="Times New Roman"/>
                <w:bCs/>
              </w:rPr>
              <w:t xml:space="preserve"> </w:t>
            </w:r>
            <w:r>
              <w:rPr>
                <w:rFonts w:ascii="Times New Roman" w:hAnsi="Times New Roman"/>
                <w:bCs/>
              </w:rPr>
              <w:t xml:space="preserve">80 </w:t>
            </w:r>
            <w:proofErr w:type="spellStart"/>
            <w:r>
              <w:rPr>
                <w:rFonts w:ascii="Times New Roman" w:hAnsi="Times New Roman"/>
                <w:bCs/>
              </w:rPr>
              <w:t>Kbit</w:t>
            </w:r>
            <w:proofErr w:type="spellEnd"/>
            <w:r>
              <w:rPr>
                <w:rFonts w:ascii="Times New Roman" w:hAnsi="Times New Roman"/>
                <w:bCs/>
              </w:rPr>
              <w:t>/s</w:t>
            </w:r>
          </w:p>
          <w:p w:rsidR="00C84F8E" w:rsidRDefault="00AB386E" w:rsidP="00864E2D">
            <w:pPr>
              <w:rPr>
                <w:rFonts w:ascii="Times New Roman" w:hAnsi="Times New Roman" w:cs="Times New Roman"/>
              </w:rPr>
            </w:pPr>
            <w:r>
              <w:rPr>
                <w:rFonts w:ascii="Times New Roman" w:hAnsi="Times New Roman" w:cs="Times New Roman"/>
              </w:rPr>
              <w:t>Pojašnjenje je uvršteno u DON</w:t>
            </w:r>
          </w:p>
          <w:p w:rsidR="00864E2D" w:rsidRDefault="00864E2D" w:rsidP="00864E2D">
            <w:pPr>
              <w:rPr>
                <w:rFonts w:ascii="Times New Roman" w:hAnsi="Times New Roman" w:cs="Times New Roman"/>
              </w:rPr>
            </w:pPr>
            <w:r>
              <w:rPr>
                <w:rFonts w:ascii="Times New Roman" w:hAnsi="Times New Roman" w:cs="Times New Roman"/>
              </w:rPr>
              <w:t>-</w:t>
            </w:r>
            <w:r w:rsidR="00C84F8E">
              <w:rPr>
                <w:rFonts w:ascii="Times New Roman" w:hAnsi="Times New Roman" w:cs="Times New Roman"/>
              </w:rPr>
              <w:t xml:space="preserve">ukoliko Naručitelj koristi vlastitu IP centralu a za pristup na javnu nepokretnu mrežu koristi </w:t>
            </w:r>
            <w:proofErr w:type="spellStart"/>
            <w:r w:rsidR="00C84F8E" w:rsidRPr="00C84F8E">
              <w:rPr>
                <w:rFonts w:ascii="Times New Roman" w:hAnsi="Times New Roman" w:cs="Times New Roman"/>
                <w:b/>
                <w:bCs/>
              </w:rPr>
              <w:t>VoIP</w:t>
            </w:r>
            <w:proofErr w:type="spellEnd"/>
            <w:r w:rsidR="00C84F8E" w:rsidRPr="00C84F8E">
              <w:rPr>
                <w:rFonts w:ascii="Times New Roman" w:hAnsi="Times New Roman" w:cs="Times New Roman"/>
                <w:b/>
                <w:bCs/>
              </w:rPr>
              <w:t xml:space="preserve"> SIP</w:t>
            </w:r>
            <w:r w:rsidR="00C84F8E" w:rsidRPr="00C84F8E">
              <w:rPr>
                <w:rFonts w:ascii="Times New Roman" w:hAnsi="Times New Roman" w:cs="Times New Roman"/>
                <w:bCs/>
              </w:rPr>
              <w:t xml:space="preserve"> </w:t>
            </w:r>
            <w:proofErr w:type="spellStart"/>
            <w:r w:rsidR="00C84F8E" w:rsidRPr="00C84F8E">
              <w:rPr>
                <w:rFonts w:ascii="Times New Roman" w:hAnsi="Times New Roman" w:cs="Times New Roman"/>
                <w:bCs/>
              </w:rPr>
              <w:t>trunk</w:t>
            </w:r>
            <w:proofErr w:type="spellEnd"/>
            <w:r w:rsidR="00C84F8E" w:rsidRPr="00C84F8E">
              <w:rPr>
                <w:rFonts w:ascii="Times New Roman" w:hAnsi="Times New Roman" w:cs="Times New Roman"/>
                <w:bCs/>
              </w:rPr>
              <w:t xml:space="preserve"> </w:t>
            </w:r>
            <w:r w:rsidR="00C0088C">
              <w:rPr>
                <w:rFonts w:ascii="Times New Roman" w:hAnsi="Times New Roman" w:cs="Times New Roman"/>
              </w:rPr>
              <w:t>točan broj IP kanala (u D</w:t>
            </w:r>
            <w:r w:rsidR="007A4D6A">
              <w:rPr>
                <w:rFonts w:ascii="Times New Roman" w:hAnsi="Times New Roman" w:cs="Times New Roman"/>
              </w:rPr>
              <w:t>o</w:t>
            </w:r>
            <w:r w:rsidR="00C0088C">
              <w:rPr>
                <w:rFonts w:ascii="Times New Roman" w:hAnsi="Times New Roman" w:cs="Times New Roman"/>
              </w:rPr>
              <w:t xml:space="preserve">N-u navedeni kao  </w:t>
            </w:r>
            <w:proofErr w:type="spellStart"/>
            <w:r w:rsidR="00C0088C" w:rsidRPr="00C0088C">
              <w:rPr>
                <w:rFonts w:ascii="Times New Roman" w:hAnsi="Times New Roman" w:cs="Times New Roman"/>
                <w:b/>
                <w:bCs/>
              </w:rPr>
              <w:t>VoIP</w:t>
            </w:r>
            <w:proofErr w:type="spellEnd"/>
            <w:r w:rsidR="00C0088C" w:rsidRPr="00C0088C">
              <w:rPr>
                <w:rFonts w:ascii="Times New Roman" w:hAnsi="Times New Roman" w:cs="Times New Roman"/>
                <w:b/>
                <w:bCs/>
              </w:rPr>
              <w:t xml:space="preserve"> SIP</w:t>
            </w:r>
            <w:r w:rsidR="00C0088C" w:rsidRPr="00C0088C">
              <w:rPr>
                <w:rFonts w:ascii="Times New Roman" w:hAnsi="Times New Roman" w:cs="Times New Roman"/>
                <w:bCs/>
              </w:rPr>
              <w:t xml:space="preserve"> </w:t>
            </w:r>
            <w:proofErr w:type="spellStart"/>
            <w:r w:rsidR="00C0088C" w:rsidRPr="00C0088C">
              <w:rPr>
                <w:rFonts w:ascii="Times New Roman" w:hAnsi="Times New Roman" w:cs="Times New Roman"/>
                <w:bCs/>
              </w:rPr>
              <w:t>trunk</w:t>
            </w:r>
            <w:proofErr w:type="spellEnd"/>
            <w:r w:rsidR="00C0088C" w:rsidRPr="00C0088C">
              <w:rPr>
                <w:rFonts w:ascii="Times New Roman" w:hAnsi="Times New Roman" w:cs="Times New Roman"/>
                <w:bCs/>
              </w:rPr>
              <w:t xml:space="preserve"> govorni priključak</w:t>
            </w:r>
            <w:r w:rsidR="00C0088C">
              <w:rPr>
                <w:rFonts w:ascii="Times New Roman" w:hAnsi="Times New Roman" w:cs="Times New Roman"/>
                <w:bCs/>
              </w:rPr>
              <w:t>) odrediti će se kod sklapanja pojedinačnog Ugovora između pojedinih Naručitelja i odabranog Ponuditelja</w:t>
            </w:r>
          </w:p>
          <w:p w:rsidR="00864E2D" w:rsidRDefault="00864E2D" w:rsidP="00864E2D">
            <w:pPr>
              <w:rPr>
                <w:rFonts w:ascii="Times New Roman" w:hAnsi="Times New Roman" w:cs="Times New Roman"/>
              </w:rPr>
            </w:pPr>
          </w:p>
          <w:p w:rsidR="00864E2D" w:rsidRDefault="00550BD9" w:rsidP="00550BD9">
            <w:pPr>
              <w:rPr>
                <w:rFonts w:ascii="Times New Roman" w:hAnsi="Times New Roman" w:cs="Times New Roman"/>
              </w:rPr>
            </w:pPr>
            <w:r>
              <w:rPr>
                <w:rFonts w:ascii="Times New Roman" w:hAnsi="Times New Roman" w:cs="Times New Roman"/>
              </w:rPr>
              <w:t>-u</w:t>
            </w:r>
            <w:r w:rsidR="00104391" w:rsidRPr="00550BD9">
              <w:rPr>
                <w:rFonts w:ascii="Times New Roman" w:hAnsi="Times New Roman" w:cs="Times New Roman"/>
              </w:rPr>
              <w:t xml:space="preserve"> tehničkoj specifikaciji za ATA uređaj n</w:t>
            </w:r>
            <w:r w:rsidRPr="00550BD9">
              <w:rPr>
                <w:rFonts w:ascii="Times New Roman" w:hAnsi="Times New Roman" w:cs="Times New Roman"/>
              </w:rPr>
              <w:t>a</w:t>
            </w:r>
            <w:r w:rsidR="00104391" w:rsidRPr="00550BD9">
              <w:rPr>
                <w:rFonts w:ascii="Times New Roman" w:hAnsi="Times New Roman" w:cs="Times New Roman"/>
              </w:rPr>
              <w:t xml:space="preserve">vedeno </w:t>
            </w:r>
            <w:r w:rsidRPr="00550BD9">
              <w:rPr>
                <w:rFonts w:ascii="Times New Roman" w:hAnsi="Times New Roman" w:cs="Times New Roman"/>
              </w:rPr>
              <w:t>je da ATA  uređaj mora omogućiti spajanje 2 analogna priključka</w:t>
            </w:r>
          </w:p>
          <w:p w:rsidR="00F9374D" w:rsidRDefault="00F9374D" w:rsidP="00550BD9">
            <w:pPr>
              <w:rPr>
                <w:rFonts w:ascii="Times New Roman" w:hAnsi="Times New Roman" w:cs="Times New Roman"/>
              </w:rPr>
            </w:pPr>
          </w:p>
          <w:p w:rsidR="00F9374D" w:rsidRPr="00B92E03" w:rsidRDefault="00B92E03" w:rsidP="007A4D6A">
            <w:pPr>
              <w:rPr>
                <w:rFonts w:ascii="Times New Roman" w:hAnsi="Times New Roman" w:cs="Times New Roman"/>
              </w:rPr>
            </w:pPr>
            <w:r>
              <w:rPr>
                <w:rFonts w:ascii="Times New Roman" w:hAnsi="Times New Roman" w:cs="Times New Roman"/>
              </w:rPr>
              <w:t>-</w:t>
            </w:r>
            <w:r w:rsidR="007A4D6A">
              <w:rPr>
                <w:rFonts w:ascii="Times New Roman" w:hAnsi="Times New Roman" w:cs="Times New Roman"/>
              </w:rPr>
              <w:t xml:space="preserve"> razlika između količine IP telefona i IP priključaka postoji jer je </w:t>
            </w:r>
            <w:r w:rsidR="00B51A60">
              <w:rPr>
                <w:rFonts w:ascii="Times New Roman" w:hAnsi="Times New Roman" w:cs="Times New Roman"/>
              </w:rPr>
              <w:t>predmet nabave  i najam IP</w:t>
            </w:r>
            <w:r w:rsidR="0062434D">
              <w:rPr>
                <w:rFonts w:ascii="Times New Roman" w:hAnsi="Times New Roman" w:cs="Times New Roman"/>
              </w:rPr>
              <w:t xml:space="preserve"> telefona</w:t>
            </w:r>
            <w:r w:rsidR="007A4D6A">
              <w:rPr>
                <w:rFonts w:ascii="Times New Roman" w:hAnsi="Times New Roman" w:cs="Times New Roman"/>
              </w:rPr>
              <w:t xml:space="preserve"> i </w:t>
            </w:r>
            <w:r w:rsidR="0062434D">
              <w:rPr>
                <w:rFonts w:ascii="Times New Roman" w:hAnsi="Times New Roman" w:cs="Times New Roman"/>
              </w:rPr>
              <w:t xml:space="preserve">ATA </w:t>
            </w:r>
            <w:r w:rsidR="007A4D6A">
              <w:rPr>
                <w:rFonts w:ascii="Times New Roman" w:hAnsi="Times New Roman" w:cs="Times New Roman"/>
              </w:rPr>
              <w:t>uređaja</w:t>
            </w:r>
            <w:r w:rsidR="0062434D">
              <w:rPr>
                <w:rFonts w:ascii="Times New Roman" w:hAnsi="Times New Roman" w:cs="Times New Roman"/>
              </w:rPr>
              <w:t xml:space="preserve"> bez IP priključaka</w:t>
            </w:r>
            <w:r w:rsidR="007A4D6A">
              <w:rPr>
                <w:rFonts w:ascii="Times New Roman" w:hAnsi="Times New Roman" w:cs="Times New Roman"/>
              </w:rPr>
              <w:t xml:space="preserve"> </w:t>
            </w:r>
          </w:p>
        </w:tc>
      </w:tr>
      <w:tr w:rsidR="00CB72C6" w:rsidRPr="00171039" w:rsidTr="00A864F3">
        <w:trPr>
          <w:trHeight w:val="509"/>
        </w:trPr>
        <w:tc>
          <w:tcPr>
            <w:tcW w:w="705" w:type="dxa"/>
            <w:vMerge/>
            <w:hideMark/>
          </w:tcPr>
          <w:p w:rsidR="00CB72C6" w:rsidRPr="00171039" w:rsidRDefault="00CB72C6" w:rsidP="00EF3B04">
            <w:pPr>
              <w:rPr>
                <w:rFonts w:ascii="Times New Roman" w:hAnsi="Times New Roman" w:cs="Times New Roman"/>
              </w:rPr>
            </w:pPr>
          </w:p>
        </w:tc>
        <w:tc>
          <w:tcPr>
            <w:tcW w:w="4504" w:type="dxa"/>
            <w:gridSpan w:val="2"/>
            <w:vMerge/>
            <w:hideMark/>
          </w:tcPr>
          <w:p w:rsidR="00CB72C6" w:rsidRPr="00171039" w:rsidRDefault="00CB72C6" w:rsidP="00EF3B04">
            <w:pPr>
              <w:rPr>
                <w:rFonts w:ascii="Times New Roman" w:hAnsi="Times New Roman" w:cs="Times New Roman"/>
              </w:rPr>
            </w:pPr>
          </w:p>
        </w:tc>
        <w:tc>
          <w:tcPr>
            <w:tcW w:w="4077" w:type="dxa"/>
            <w:vMerge/>
            <w:hideMark/>
          </w:tcPr>
          <w:p w:rsidR="00CB72C6" w:rsidRPr="00171039" w:rsidRDefault="00CB72C6" w:rsidP="00EF3B04">
            <w:pPr>
              <w:rPr>
                <w:rFonts w:ascii="Times New Roman" w:hAnsi="Times New Roman" w:cs="Times New Roman"/>
              </w:rPr>
            </w:pPr>
          </w:p>
        </w:tc>
      </w:tr>
      <w:tr w:rsidR="006A48B0" w:rsidRPr="00171039" w:rsidTr="00A864F3">
        <w:trPr>
          <w:trHeight w:val="253"/>
        </w:trPr>
        <w:tc>
          <w:tcPr>
            <w:tcW w:w="705" w:type="dxa"/>
          </w:tcPr>
          <w:p w:rsidR="00B8023C" w:rsidRDefault="00B8023C" w:rsidP="00EF3B04">
            <w:pPr>
              <w:rPr>
                <w:rFonts w:ascii="Times New Roman" w:hAnsi="Times New Roman" w:cs="Times New Roman"/>
              </w:rPr>
            </w:pPr>
          </w:p>
          <w:p w:rsidR="006A48B0" w:rsidRPr="00171039" w:rsidRDefault="006A48B0" w:rsidP="00EF3B04">
            <w:pPr>
              <w:rPr>
                <w:rFonts w:ascii="Times New Roman" w:hAnsi="Times New Roman" w:cs="Times New Roman"/>
              </w:rPr>
            </w:pPr>
            <w:r>
              <w:rPr>
                <w:rFonts w:ascii="Times New Roman" w:hAnsi="Times New Roman" w:cs="Times New Roman"/>
              </w:rPr>
              <w:t>2.</w:t>
            </w:r>
          </w:p>
        </w:tc>
        <w:tc>
          <w:tcPr>
            <w:tcW w:w="4504" w:type="dxa"/>
            <w:gridSpan w:val="2"/>
          </w:tcPr>
          <w:p w:rsidR="00B8023C" w:rsidRDefault="00B8023C" w:rsidP="000A61C1">
            <w:pPr>
              <w:rPr>
                <w:rFonts w:ascii="Times New Roman" w:hAnsi="Times New Roman" w:cs="Times New Roman"/>
              </w:rPr>
            </w:pPr>
          </w:p>
          <w:p w:rsidR="000A61C1" w:rsidRPr="000A61C1" w:rsidRDefault="000A61C1" w:rsidP="000A61C1">
            <w:pPr>
              <w:rPr>
                <w:rFonts w:ascii="Times New Roman" w:hAnsi="Times New Roman" w:cs="Times New Roman"/>
              </w:rPr>
            </w:pPr>
            <w:r w:rsidRPr="000A61C1">
              <w:rPr>
                <w:rFonts w:ascii="Times New Roman" w:hAnsi="Times New Roman" w:cs="Times New Roman"/>
              </w:rPr>
              <w:t xml:space="preserve">Vezano uz profesionalni propust iz toč.14.1.3. DoN-a:  Molimo pojašnjenje naručitelja da li je Ponuditelj u obvezi dokazati  nepostojanje ove ostale osnove za isključenje? Ako jeste, molimo dopunu ovog dijela DoN-a na način da naručitelj taksativno propiše način i vrstu dokaza za navedeno. Koji je dokaz prihvatljiv i relevantan za naručitelja, a da bi se smatralo dokazanim nepostojanje profesionalnog propusta na strani Ponuditelja? </w:t>
            </w:r>
            <w:r w:rsidR="00C86B9C">
              <w:rPr>
                <w:rFonts w:ascii="Times New Roman" w:hAnsi="Times New Roman" w:cs="Times New Roman"/>
              </w:rPr>
              <w:t>S</w:t>
            </w:r>
            <w:r w:rsidRPr="000A61C1">
              <w:rPr>
                <w:rFonts w:ascii="Times New Roman" w:hAnsi="Times New Roman" w:cs="Times New Roman"/>
              </w:rPr>
              <w:t>kreće</w:t>
            </w:r>
            <w:r w:rsidR="00C86B9C">
              <w:rPr>
                <w:rFonts w:ascii="Times New Roman" w:hAnsi="Times New Roman" w:cs="Times New Roman"/>
              </w:rPr>
              <w:t>mo</w:t>
            </w:r>
            <w:r w:rsidRPr="000A61C1">
              <w:rPr>
                <w:rFonts w:ascii="Times New Roman" w:hAnsi="Times New Roman" w:cs="Times New Roman"/>
              </w:rPr>
              <w:t xml:space="preserve"> pozornost naručitelju kako je upitna operativna provedba u praksi  rečenice: „Središnje tijelo neće isključiti gospodarskog subjekta iz postupka javne nabave ako je ocjenjeno da su poduzete mjere primjerene“.  </w:t>
            </w:r>
            <w:r w:rsidR="00C86B9C">
              <w:rPr>
                <w:rFonts w:ascii="Times New Roman" w:hAnsi="Times New Roman" w:cs="Times New Roman"/>
              </w:rPr>
              <w:t>U</w:t>
            </w:r>
            <w:r w:rsidRPr="000A61C1">
              <w:rPr>
                <w:rFonts w:ascii="Times New Roman" w:hAnsi="Times New Roman" w:cs="Times New Roman"/>
              </w:rPr>
              <w:t>kazuje</w:t>
            </w:r>
            <w:r w:rsidR="00C86B9C">
              <w:rPr>
                <w:rFonts w:ascii="Times New Roman" w:hAnsi="Times New Roman" w:cs="Times New Roman"/>
              </w:rPr>
              <w:t>mo</w:t>
            </w:r>
            <w:r w:rsidRPr="000A61C1">
              <w:rPr>
                <w:rFonts w:ascii="Times New Roman" w:hAnsi="Times New Roman" w:cs="Times New Roman"/>
              </w:rPr>
              <w:t xml:space="preserve"> na nejasnoću i praz</w:t>
            </w:r>
            <w:r w:rsidR="00672757">
              <w:rPr>
                <w:rFonts w:ascii="Times New Roman" w:hAnsi="Times New Roman" w:cs="Times New Roman"/>
              </w:rPr>
              <w:t>n</w:t>
            </w:r>
            <w:r w:rsidRPr="000A61C1">
              <w:rPr>
                <w:rFonts w:ascii="Times New Roman" w:hAnsi="Times New Roman" w:cs="Times New Roman"/>
              </w:rPr>
              <w:t>inu u DoN-u: Kako će naručitelj utvrditi koje su i jesu li poduzete mjere primjerene? U DoN-u nisu navedeni kriteriji za ut</w:t>
            </w:r>
            <w:r w:rsidR="00672757">
              <w:rPr>
                <w:rFonts w:ascii="Times New Roman" w:hAnsi="Times New Roman" w:cs="Times New Roman"/>
              </w:rPr>
              <w:t>v</w:t>
            </w:r>
            <w:r w:rsidRPr="000A61C1">
              <w:rPr>
                <w:rFonts w:ascii="Times New Roman" w:hAnsi="Times New Roman" w:cs="Times New Roman"/>
              </w:rPr>
              <w:t>rđivanje toga. Ukoliko pojašnjenjem i/ili izmjenom  DoN-a  naručitelj ne otkloni navedene dvojbe, moli se brisanje ovog dijela DoN-a.</w:t>
            </w:r>
          </w:p>
          <w:p w:rsidR="000A61C1" w:rsidRPr="000A61C1" w:rsidRDefault="000A61C1" w:rsidP="000A61C1">
            <w:pPr>
              <w:rPr>
                <w:rFonts w:ascii="Times New Roman" w:hAnsi="Times New Roman" w:cs="Times New Roman"/>
              </w:rPr>
            </w:pPr>
          </w:p>
          <w:p w:rsidR="00B8023C" w:rsidRDefault="00B8023C" w:rsidP="000A61C1">
            <w:pPr>
              <w:rPr>
                <w:rFonts w:ascii="Times New Roman" w:hAnsi="Times New Roman" w:cs="Times New Roman"/>
              </w:rPr>
            </w:pPr>
          </w:p>
          <w:p w:rsidR="00B8023C" w:rsidRDefault="00B8023C" w:rsidP="000A61C1">
            <w:pPr>
              <w:rPr>
                <w:rFonts w:ascii="Times New Roman" w:hAnsi="Times New Roman" w:cs="Times New Roman"/>
              </w:rPr>
            </w:pPr>
          </w:p>
          <w:p w:rsidR="00B8023C" w:rsidRDefault="00B8023C" w:rsidP="000A61C1">
            <w:pPr>
              <w:rPr>
                <w:rFonts w:ascii="Times New Roman" w:hAnsi="Times New Roman" w:cs="Times New Roman"/>
              </w:rPr>
            </w:pPr>
          </w:p>
          <w:p w:rsidR="00B8023C" w:rsidRDefault="00B8023C" w:rsidP="000A61C1">
            <w:pPr>
              <w:rPr>
                <w:rFonts w:ascii="Times New Roman" w:hAnsi="Times New Roman" w:cs="Times New Roman"/>
              </w:rPr>
            </w:pPr>
          </w:p>
          <w:p w:rsidR="00B8023C" w:rsidRDefault="00B8023C" w:rsidP="000A61C1">
            <w:pPr>
              <w:rPr>
                <w:rFonts w:ascii="Times New Roman" w:hAnsi="Times New Roman" w:cs="Times New Roman"/>
              </w:rPr>
            </w:pPr>
          </w:p>
          <w:p w:rsidR="00B8023C" w:rsidRDefault="00B8023C" w:rsidP="000A61C1">
            <w:pPr>
              <w:rPr>
                <w:rFonts w:ascii="Times New Roman" w:hAnsi="Times New Roman" w:cs="Times New Roman"/>
              </w:rPr>
            </w:pPr>
          </w:p>
          <w:p w:rsidR="00B8023C" w:rsidRDefault="00B8023C" w:rsidP="000A61C1">
            <w:pPr>
              <w:rPr>
                <w:rFonts w:ascii="Times New Roman" w:hAnsi="Times New Roman" w:cs="Times New Roman"/>
              </w:rPr>
            </w:pPr>
          </w:p>
          <w:p w:rsidR="00B8023C" w:rsidRDefault="00B8023C" w:rsidP="000A61C1">
            <w:pPr>
              <w:rPr>
                <w:rFonts w:ascii="Times New Roman" w:hAnsi="Times New Roman" w:cs="Times New Roman"/>
              </w:rPr>
            </w:pPr>
          </w:p>
          <w:p w:rsidR="00B8023C" w:rsidRDefault="00B8023C" w:rsidP="000A61C1">
            <w:pPr>
              <w:rPr>
                <w:rFonts w:ascii="Times New Roman" w:hAnsi="Times New Roman" w:cs="Times New Roman"/>
              </w:rPr>
            </w:pPr>
          </w:p>
          <w:p w:rsidR="006A48B0" w:rsidRPr="00171039" w:rsidRDefault="000A61C1" w:rsidP="000A61C1">
            <w:pPr>
              <w:rPr>
                <w:rFonts w:ascii="Times New Roman" w:hAnsi="Times New Roman" w:cs="Times New Roman"/>
              </w:rPr>
            </w:pPr>
            <w:r w:rsidRPr="000A61C1">
              <w:rPr>
                <w:rFonts w:ascii="Times New Roman" w:hAnsi="Times New Roman" w:cs="Times New Roman"/>
              </w:rPr>
              <w:t>Ukazuje se na neujednačeno određivanje  pojma „ažurnog popratnog dokumenta“ u DoN-u.  Tako na str.43. DoN Naručitelj propisuje ažurnost po formulaciji iz Pravilnika o dokumentaciji o nabavi te ponudi u postupcima javne nabave:  Smatra se da su dokazi iz članka 265.st.1. ZJN 2016. ažurirani ako nisu stariji od dana u kojem istječe rok za dostavu ponuda ili zahtjeva za sudjelovanje. dok se na str. 47. DoN navodi: Ažurirani popratni dokument je svaki dokument u kojem su sadržani podaci važeći te odgovaraju stvarnom činjeničnom stanju u trenutku dostave središnjem tijelu te dokazuju ono što je gospodarski subjekt naveo u ESPD-u. Ljubazno molimo naručitelja da uskladi pojam ažurnog popratnog dokumenta na jednoznačan način prema formulaciji iz Pravilnika o dokumentaciji o nabavi te ponudi u postupcima javne nabave. (provedbeni propis donesen nakon stupanja na snagu ZJN-a).</w:t>
            </w:r>
          </w:p>
        </w:tc>
        <w:tc>
          <w:tcPr>
            <w:tcW w:w="4077" w:type="dxa"/>
          </w:tcPr>
          <w:p w:rsidR="006A48B0" w:rsidRDefault="006A48B0" w:rsidP="00EF3B04">
            <w:pPr>
              <w:rPr>
                <w:rFonts w:ascii="Times New Roman" w:hAnsi="Times New Roman" w:cs="Times New Roman"/>
              </w:rPr>
            </w:pPr>
          </w:p>
          <w:p w:rsidR="00B8023C" w:rsidRDefault="00B8023C" w:rsidP="00B8023C">
            <w:pPr>
              <w:rPr>
                <w:rFonts w:ascii="Times New Roman" w:hAnsi="Times New Roman" w:cs="Times New Roman"/>
              </w:rPr>
            </w:pPr>
            <w:r>
              <w:rPr>
                <w:rFonts w:ascii="Times New Roman" w:hAnsi="Times New Roman" w:cs="Times New Roman"/>
              </w:rPr>
              <w:t>Pojašnjenje:</w:t>
            </w:r>
          </w:p>
          <w:p w:rsidR="00B8023C" w:rsidRPr="00B8023C" w:rsidRDefault="00B8023C" w:rsidP="00B8023C">
            <w:pPr>
              <w:rPr>
                <w:rFonts w:ascii="Times New Roman" w:hAnsi="Times New Roman" w:cs="Times New Roman"/>
              </w:rPr>
            </w:pPr>
            <w:r w:rsidRPr="00B8023C">
              <w:rPr>
                <w:rFonts w:ascii="Times New Roman" w:hAnsi="Times New Roman" w:cs="Times New Roman"/>
              </w:rPr>
              <w:t xml:space="preserve">Ponuditelj za potrebe utvrđivanja okolnosti nepostojanja ostalih osnova za isključenja u </w:t>
            </w:r>
            <w:r w:rsidRPr="00B8023C">
              <w:rPr>
                <w:rFonts w:ascii="Times New Roman" w:hAnsi="Times New Roman" w:cs="Times New Roman"/>
                <w:b/>
                <w:u w:val="single"/>
              </w:rPr>
              <w:t xml:space="preserve">ponudi </w:t>
            </w:r>
            <w:r w:rsidRPr="00B8023C">
              <w:rPr>
                <w:rFonts w:ascii="Times New Roman" w:hAnsi="Times New Roman" w:cs="Times New Roman"/>
              </w:rPr>
              <w:t xml:space="preserve">dostavlja </w:t>
            </w:r>
            <w:r w:rsidRPr="00B8023C">
              <w:rPr>
                <w:rFonts w:ascii="Times New Roman" w:hAnsi="Times New Roman" w:cs="Times New Roman"/>
                <w:b/>
                <w:i/>
              </w:rPr>
              <w:t xml:space="preserve">ispunjeni ESPD obrazac (europska jedinstvena dokumentacija o nabavi). ESPD-obrazac (Dio III. Osnove za isključenje, </w:t>
            </w:r>
            <w:r w:rsidRPr="00B8023C">
              <w:rPr>
                <w:rFonts w:ascii="Times New Roman" w:hAnsi="Times New Roman" w:cs="Times New Roman"/>
                <w:b/>
                <w:i/>
                <w:u w:val="single"/>
              </w:rPr>
              <w:t>Odjeljak C: Osnove povezane s insolventnošću, sukobima interesa ili poslovnim prekršajem – u dijelu koji se odnosi na gore navedene osnove za isključenje</w:t>
            </w:r>
            <w:r w:rsidRPr="00B8023C">
              <w:rPr>
                <w:rFonts w:ascii="Times New Roman" w:hAnsi="Times New Roman" w:cs="Times New Roman"/>
                <w:b/>
                <w:i/>
              </w:rPr>
              <w:t>) za sve gospodarske subjekte u ponudi</w:t>
            </w:r>
            <w:r w:rsidRPr="00B8023C">
              <w:rPr>
                <w:rFonts w:ascii="Times New Roman" w:hAnsi="Times New Roman" w:cs="Times New Roman"/>
                <w:i/>
              </w:rPr>
              <w:t xml:space="preserve">. </w:t>
            </w:r>
            <w:r w:rsidRPr="00B8023C">
              <w:rPr>
                <w:rFonts w:ascii="Times New Roman" w:hAnsi="Times New Roman" w:cs="Times New Roman"/>
              </w:rPr>
              <w:t>Slijedom navedenog ispunjen</w:t>
            </w:r>
            <w:r w:rsidRPr="00B8023C">
              <w:rPr>
                <w:rFonts w:ascii="Times New Roman" w:hAnsi="Times New Roman" w:cs="Times New Roman"/>
                <w:i/>
              </w:rPr>
              <w:t xml:space="preserve"> </w:t>
            </w:r>
            <w:r w:rsidRPr="00B8023C">
              <w:rPr>
                <w:rFonts w:ascii="Times New Roman" w:hAnsi="Times New Roman" w:cs="Times New Roman"/>
              </w:rPr>
              <w:t>ESPD je ažurirana formalna izjava gospodarskog subjekta, koja služi kao preliminarni dokaz umjesto potvrda koje izdaju tijela javne vlasti ili treće strane. Nadalje, u europskoj jedinstvenoj dokumentaciji o nabavi navode se izdavatelji popratnih dokumenata te ona sadržava izjavu da će gospodarski subjekt moći, na zahtjev i bez odgode, središnjem tijelu za javnu nabavu dostaviti te dokumente. U slučaju postojanja sumnje u istinitost podataka dostavljenih od strane gospodarskog subjekta središnje tijelo za javnu nabavu može dostavljene podatke provjeriti kod izdavatelja dokumenta, nadležnog tijela ili treće strane koja ima saznanja o relevantnim činjenicama.</w:t>
            </w:r>
            <w:r w:rsidR="006B6509">
              <w:rPr>
                <w:rFonts w:ascii="Times New Roman" w:hAnsi="Times New Roman" w:cs="Times New Roman"/>
              </w:rPr>
              <w:t xml:space="preserve"> Prijedlog gospodarskog subjekta za izmjenom dokumentacije </w:t>
            </w:r>
            <w:r w:rsidR="002308FD">
              <w:rPr>
                <w:rFonts w:ascii="Times New Roman" w:hAnsi="Times New Roman" w:cs="Times New Roman"/>
              </w:rPr>
              <w:t xml:space="preserve"> se </w:t>
            </w:r>
            <w:r w:rsidR="006B6509">
              <w:rPr>
                <w:rFonts w:ascii="Times New Roman" w:hAnsi="Times New Roman" w:cs="Times New Roman"/>
              </w:rPr>
              <w:t>ne prihvaća.</w:t>
            </w:r>
          </w:p>
          <w:p w:rsidR="00B8023C" w:rsidRPr="00B8023C" w:rsidRDefault="00B8023C" w:rsidP="00B8023C">
            <w:pPr>
              <w:rPr>
                <w:rFonts w:ascii="Times New Roman" w:hAnsi="Times New Roman" w:cs="Times New Roman"/>
              </w:rPr>
            </w:pPr>
          </w:p>
          <w:p w:rsidR="00B8023C" w:rsidRPr="00B8023C" w:rsidRDefault="00B8023C" w:rsidP="00B8023C">
            <w:pPr>
              <w:rPr>
                <w:rFonts w:ascii="Times New Roman" w:hAnsi="Times New Roman" w:cs="Times New Roman"/>
              </w:rPr>
            </w:pPr>
            <w:r>
              <w:rPr>
                <w:rFonts w:ascii="Times New Roman" w:hAnsi="Times New Roman" w:cs="Times New Roman"/>
              </w:rPr>
              <w:t>Pojašnjenje:</w:t>
            </w:r>
          </w:p>
          <w:p w:rsidR="006B6509" w:rsidRPr="006B6509" w:rsidRDefault="00B8023C" w:rsidP="006B6509">
            <w:pPr>
              <w:rPr>
                <w:rFonts w:ascii="Times New Roman" w:hAnsi="Times New Roman" w:cs="Times New Roman"/>
              </w:rPr>
            </w:pPr>
            <w:r w:rsidRPr="00B8023C">
              <w:rPr>
                <w:rFonts w:ascii="Times New Roman" w:hAnsi="Times New Roman" w:cs="Times New Roman"/>
              </w:rPr>
              <w:t>Središnje tijelo za javnu nabavu prije donošenja odluke u postupku javne nabave od ponuditelja koji je podnio ekonomski najpovoljniju ponudu  će zatražiti da u primjerenom roku, ne kraćem od 5 (pet) dana dostavi ažurirane popratne dokumente. Slijedom navedenog ovisno o vrsti dokaza traženih u dokumentaciji o nabavi dostava</w:t>
            </w:r>
            <w:r w:rsidR="00242026">
              <w:rPr>
                <w:rFonts w:ascii="Times New Roman" w:hAnsi="Times New Roman" w:cs="Times New Roman"/>
              </w:rPr>
              <w:t xml:space="preserve"> ažuriranih</w:t>
            </w:r>
            <w:r w:rsidRPr="00B8023C">
              <w:rPr>
                <w:rFonts w:ascii="Times New Roman" w:hAnsi="Times New Roman" w:cs="Times New Roman"/>
              </w:rPr>
              <w:t xml:space="preserve"> dokaza od strane ponuditelja podrazumijeva da isti sadržavaju podatke koji su  važeći, odgovaraju stvarnom činjeničnom stanju u tre</w:t>
            </w:r>
            <w:r w:rsidR="00387FF5">
              <w:rPr>
                <w:rFonts w:ascii="Times New Roman" w:hAnsi="Times New Roman" w:cs="Times New Roman"/>
              </w:rPr>
              <w:t xml:space="preserve">nutku dostave središnjem tijelu, </w:t>
            </w:r>
            <w:r w:rsidRPr="00B8023C">
              <w:rPr>
                <w:rFonts w:ascii="Times New Roman" w:hAnsi="Times New Roman" w:cs="Times New Roman"/>
              </w:rPr>
              <w:t xml:space="preserve">dokazuju ono što je gospodarski subjekt </w:t>
            </w:r>
            <w:r w:rsidR="00242026">
              <w:rPr>
                <w:rFonts w:ascii="Times New Roman" w:hAnsi="Times New Roman" w:cs="Times New Roman"/>
              </w:rPr>
              <w:t>naveo u ESPD-u</w:t>
            </w:r>
            <w:r w:rsidR="00387FF5">
              <w:rPr>
                <w:rFonts w:ascii="Times New Roman" w:hAnsi="Times New Roman" w:cs="Times New Roman"/>
              </w:rPr>
              <w:t>, te sukladno Pravilniku</w:t>
            </w:r>
            <w:r w:rsidRPr="00B8023C">
              <w:rPr>
                <w:rFonts w:ascii="Times New Roman" w:hAnsi="Times New Roman" w:cs="Times New Roman"/>
              </w:rPr>
              <w:t xml:space="preserve"> o dokumentaciji o nabavi te ponudi u postupcima javna nabave (NN 65/2017), čl.20 st.9. isti  nisu stariji od dana u kojem istječe rok za dostavu ponuda.</w:t>
            </w:r>
            <w:r w:rsidRPr="00B8023C">
              <w:rPr>
                <w:rFonts w:ascii="Times New Roman" w:hAnsi="Times New Roman" w:cs="Times New Roman"/>
              </w:rPr>
              <w:br/>
            </w:r>
            <w:r w:rsidR="006B6509">
              <w:rPr>
                <w:rFonts w:ascii="Times New Roman" w:hAnsi="Times New Roman" w:cs="Times New Roman"/>
              </w:rPr>
              <w:t>P</w:t>
            </w:r>
            <w:r w:rsidR="006B6509" w:rsidRPr="006B6509">
              <w:rPr>
                <w:rFonts w:ascii="Times New Roman" w:hAnsi="Times New Roman" w:cs="Times New Roman"/>
              </w:rPr>
              <w:t xml:space="preserve">rijedlog gospodarskog subjekta za izmjenom dokumentacije </w:t>
            </w:r>
            <w:r w:rsidR="002308FD">
              <w:rPr>
                <w:rFonts w:ascii="Times New Roman" w:hAnsi="Times New Roman" w:cs="Times New Roman"/>
              </w:rPr>
              <w:t xml:space="preserve"> se </w:t>
            </w:r>
            <w:r w:rsidR="006B6509" w:rsidRPr="006B6509">
              <w:rPr>
                <w:rFonts w:ascii="Times New Roman" w:hAnsi="Times New Roman" w:cs="Times New Roman"/>
              </w:rPr>
              <w:t>ne prihvaća.</w:t>
            </w:r>
          </w:p>
          <w:p w:rsidR="00B8023C" w:rsidRPr="00B8023C" w:rsidRDefault="00B8023C" w:rsidP="00B8023C">
            <w:pPr>
              <w:rPr>
                <w:rFonts w:ascii="Times New Roman" w:hAnsi="Times New Roman" w:cs="Times New Roman"/>
              </w:rPr>
            </w:pPr>
          </w:p>
          <w:p w:rsidR="00B8023C" w:rsidRPr="00B8023C" w:rsidRDefault="00B8023C" w:rsidP="00B8023C">
            <w:pPr>
              <w:rPr>
                <w:rFonts w:ascii="Times New Roman" w:hAnsi="Times New Roman" w:cs="Times New Roman"/>
              </w:rPr>
            </w:pPr>
          </w:p>
          <w:p w:rsidR="00B8023C" w:rsidRPr="00171039" w:rsidRDefault="00B8023C" w:rsidP="00EF3B04">
            <w:pPr>
              <w:rPr>
                <w:rFonts w:ascii="Times New Roman" w:hAnsi="Times New Roman" w:cs="Times New Roman"/>
              </w:rPr>
            </w:pPr>
          </w:p>
        </w:tc>
      </w:tr>
      <w:tr w:rsidR="000A61C1" w:rsidRPr="00171039" w:rsidTr="00A864F3">
        <w:trPr>
          <w:trHeight w:val="253"/>
        </w:trPr>
        <w:tc>
          <w:tcPr>
            <w:tcW w:w="705" w:type="dxa"/>
          </w:tcPr>
          <w:p w:rsidR="00A2598F" w:rsidRDefault="00A2598F" w:rsidP="00EF3B04">
            <w:pPr>
              <w:rPr>
                <w:rFonts w:ascii="Times New Roman" w:hAnsi="Times New Roman" w:cs="Times New Roman"/>
              </w:rPr>
            </w:pPr>
          </w:p>
          <w:p w:rsidR="00A2598F" w:rsidRDefault="00A2598F" w:rsidP="00EF3B04">
            <w:pPr>
              <w:rPr>
                <w:rFonts w:ascii="Times New Roman" w:hAnsi="Times New Roman" w:cs="Times New Roman"/>
              </w:rPr>
            </w:pPr>
          </w:p>
          <w:p w:rsidR="00A2598F" w:rsidRDefault="00A2598F" w:rsidP="00EF3B04">
            <w:pPr>
              <w:rPr>
                <w:rFonts w:ascii="Times New Roman" w:hAnsi="Times New Roman" w:cs="Times New Roman"/>
              </w:rPr>
            </w:pPr>
          </w:p>
          <w:p w:rsidR="000A61C1" w:rsidRDefault="000A61C1" w:rsidP="00EF3B04">
            <w:pPr>
              <w:rPr>
                <w:rFonts w:ascii="Times New Roman" w:hAnsi="Times New Roman" w:cs="Times New Roman"/>
              </w:rPr>
            </w:pPr>
            <w:r>
              <w:rPr>
                <w:rFonts w:ascii="Times New Roman" w:hAnsi="Times New Roman" w:cs="Times New Roman"/>
              </w:rPr>
              <w:t>3.</w:t>
            </w:r>
          </w:p>
        </w:tc>
        <w:tc>
          <w:tcPr>
            <w:tcW w:w="4504" w:type="dxa"/>
            <w:gridSpan w:val="2"/>
          </w:tcPr>
          <w:p w:rsidR="00A2598F" w:rsidRDefault="00A2598F" w:rsidP="000A61C1">
            <w:pPr>
              <w:rPr>
                <w:rFonts w:ascii="Times New Roman" w:hAnsi="Times New Roman" w:cs="Times New Roman"/>
              </w:rPr>
            </w:pPr>
          </w:p>
          <w:p w:rsidR="00A2598F" w:rsidRDefault="00A2598F" w:rsidP="000A61C1">
            <w:pPr>
              <w:rPr>
                <w:rFonts w:ascii="Times New Roman" w:hAnsi="Times New Roman" w:cs="Times New Roman"/>
              </w:rPr>
            </w:pPr>
          </w:p>
          <w:p w:rsidR="000A61C1" w:rsidRPr="000A61C1" w:rsidRDefault="000A61C1" w:rsidP="000A61C1">
            <w:pPr>
              <w:rPr>
                <w:rFonts w:ascii="Times New Roman" w:hAnsi="Times New Roman" w:cs="Times New Roman"/>
              </w:rPr>
            </w:pPr>
            <w:r w:rsidRPr="000A61C1">
              <w:rPr>
                <w:rFonts w:ascii="Times New Roman" w:hAnsi="Times New Roman" w:cs="Times New Roman"/>
              </w:rPr>
              <w:t>prijedlog tehničkih dopuna nacrta Dokumentacije o nabavi:</w:t>
            </w:r>
          </w:p>
          <w:p w:rsidR="000A61C1" w:rsidRPr="000A61C1" w:rsidRDefault="000A61C1" w:rsidP="000A61C1">
            <w:pPr>
              <w:rPr>
                <w:rFonts w:ascii="Times New Roman" w:hAnsi="Times New Roman" w:cs="Times New Roman"/>
              </w:rPr>
            </w:pPr>
          </w:p>
          <w:p w:rsidR="000A61C1" w:rsidRPr="000A61C1" w:rsidRDefault="000A61C1" w:rsidP="000A61C1">
            <w:pPr>
              <w:rPr>
                <w:rFonts w:ascii="Times New Roman" w:hAnsi="Times New Roman" w:cs="Times New Roman"/>
              </w:rPr>
            </w:pPr>
            <w:r w:rsidRPr="000A61C1">
              <w:rPr>
                <w:rFonts w:ascii="Times New Roman" w:hAnsi="Times New Roman" w:cs="Times New Roman"/>
              </w:rPr>
              <w:t>Kako Naručitelj predstavlja subjekt od regionalne važnosti za građane Republike Hrvatske te je u potpunosti vezan za predmet nabave cjelokupnog telekomunikacijskog rješenja u nepokretnoj elektroničkoj mreži gdje bi svaki zastoj u redovnom radu govornih i podatkovnih usluga bio uzrok neiskazivoj šteti i poremećaju te izravnim i nenadoknadivim gubitkom za građane Republike Hrvatske, predlažemo kao neizostavni dio ponude da Ponuditelj priloži dokaz kojim potvrđuje da ima sigurnosno poslovanje čime ne dovodi u opasnost izvršenje svojih ugovornih obveza, a time i funkcioniranja telekomunikacijskog sustava Naručitelja odnosno mogućnost komunikacije kao esencijalnu potrebu. Ponuditelj koji posjeduje dokaz da raspolaže mjerama za nastavak vlastitog poslovanja u slučaju katastrofe, ujedno Naručitelju povećava sigurnost poslovanja i time dokazuje da je osposobljen pružati usluge 24x7 (24 sata na dan, 7 dana u tjednu tijekom cijele godine) s obzirom na složenost komunikacijskog sustava Naručitelja kojemu bilo kakav nedostatak u mogućnosti komunikacije na ovoj razini može biti uzrok velikih problema u obavljanju svakodnevnih poslova.</w:t>
            </w:r>
          </w:p>
          <w:p w:rsidR="000A61C1" w:rsidRPr="000A61C1" w:rsidRDefault="000A61C1" w:rsidP="000A61C1">
            <w:pPr>
              <w:rPr>
                <w:rFonts w:ascii="Times New Roman" w:hAnsi="Times New Roman" w:cs="Times New Roman"/>
              </w:rPr>
            </w:pPr>
          </w:p>
          <w:p w:rsidR="000A61C1" w:rsidRPr="000A61C1" w:rsidRDefault="000A61C1" w:rsidP="000A61C1">
            <w:pPr>
              <w:rPr>
                <w:rFonts w:ascii="Times New Roman" w:hAnsi="Times New Roman" w:cs="Times New Roman"/>
              </w:rPr>
            </w:pPr>
            <w:r w:rsidRPr="000A61C1">
              <w:rPr>
                <w:rFonts w:ascii="Times New Roman" w:hAnsi="Times New Roman" w:cs="Times New Roman"/>
              </w:rPr>
              <w:t>Stoga predlažemo da se navedenim proširi tehnički dio u točki 1. Opis i tehnička specifikacija nabave, na slijedeći način:</w:t>
            </w:r>
          </w:p>
          <w:p w:rsidR="000A61C1" w:rsidRPr="000A61C1" w:rsidRDefault="000A61C1" w:rsidP="000A61C1">
            <w:pPr>
              <w:rPr>
                <w:rFonts w:ascii="Times New Roman" w:hAnsi="Times New Roman" w:cs="Times New Roman"/>
              </w:rPr>
            </w:pPr>
          </w:p>
          <w:p w:rsidR="000A61C1" w:rsidRPr="000A61C1" w:rsidRDefault="000A61C1" w:rsidP="000A61C1">
            <w:pPr>
              <w:rPr>
                <w:rFonts w:ascii="Times New Roman" w:hAnsi="Times New Roman" w:cs="Times New Roman"/>
              </w:rPr>
            </w:pPr>
            <w:r w:rsidRPr="000A61C1">
              <w:rPr>
                <w:rFonts w:ascii="Times New Roman" w:hAnsi="Times New Roman" w:cs="Times New Roman"/>
              </w:rPr>
              <w:t xml:space="preserve">Za glasovne priključka iz predmeta nabave Ponuditelj mora ponuditi u potpunosti </w:t>
            </w:r>
            <w:proofErr w:type="spellStart"/>
            <w:r w:rsidRPr="000A61C1">
              <w:rPr>
                <w:rFonts w:ascii="Times New Roman" w:hAnsi="Times New Roman" w:cs="Times New Roman"/>
              </w:rPr>
              <w:t>georedundatno</w:t>
            </w:r>
            <w:proofErr w:type="spellEnd"/>
            <w:r w:rsidRPr="000A61C1">
              <w:rPr>
                <w:rFonts w:ascii="Times New Roman" w:hAnsi="Times New Roman" w:cs="Times New Roman"/>
              </w:rPr>
              <w:t xml:space="preserve"> rješenje za glasovnu </w:t>
            </w:r>
            <w:proofErr w:type="spellStart"/>
            <w:r w:rsidRPr="000A61C1">
              <w:rPr>
                <w:rFonts w:ascii="Times New Roman" w:hAnsi="Times New Roman" w:cs="Times New Roman"/>
              </w:rPr>
              <w:t>jezgrenu</w:t>
            </w:r>
            <w:proofErr w:type="spellEnd"/>
            <w:r w:rsidRPr="000A61C1">
              <w:rPr>
                <w:rFonts w:ascii="Times New Roman" w:hAnsi="Times New Roman" w:cs="Times New Roman"/>
              </w:rPr>
              <w:t xml:space="preserve"> platformu. Svaka komponenta ponuditeljeve glasovne platforme koja sudjeluje u procesiranju poziva mora biti </w:t>
            </w:r>
            <w:proofErr w:type="spellStart"/>
            <w:r w:rsidRPr="000A61C1">
              <w:rPr>
                <w:rFonts w:ascii="Times New Roman" w:hAnsi="Times New Roman" w:cs="Times New Roman"/>
              </w:rPr>
              <w:t>georedundantna</w:t>
            </w:r>
            <w:proofErr w:type="spellEnd"/>
            <w:r w:rsidRPr="000A61C1">
              <w:rPr>
                <w:rFonts w:ascii="Times New Roman" w:hAnsi="Times New Roman" w:cs="Times New Roman"/>
              </w:rPr>
              <w:t xml:space="preserve">. Svaka </w:t>
            </w:r>
            <w:proofErr w:type="spellStart"/>
            <w:r w:rsidRPr="000A61C1">
              <w:rPr>
                <w:rFonts w:ascii="Times New Roman" w:hAnsi="Times New Roman" w:cs="Times New Roman"/>
              </w:rPr>
              <w:t>georedundantna</w:t>
            </w:r>
            <w:proofErr w:type="spellEnd"/>
            <w:r w:rsidRPr="000A61C1">
              <w:rPr>
                <w:rFonts w:ascii="Times New Roman" w:hAnsi="Times New Roman" w:cs="Times New Roman"/>
              </w:rPr>
              <w:t xml:space="preserve"> lokacija glasovne platforme mora imati kapaciteta procesirati sve dolazne i odlazne pozive. Redundantna govorna platforma mora biti smještena u dva geografski različita DATA centra a navedeno mora biti jasno vidljivo iz izvedbene sheme i opisa govorne platforme sa točno navedenim lokacijama DATA centara. Ujedno je potrebno priložiti opis i izvedbenu shemu oba DATA centra  gdje se jasno ispunjavaju uvjeti: redundantan UPS sustav s nadzorom i minimalno 30 minuta </w:t>
            </w:r>
            <w:r w:rsidRPr="000A61C1">
              <w:rPr>
                <w:rFonts w:ascii="Times New Roman" w:hAnsi="Times New Roman" w:cs="Times New Roman"/>
              </w:rPr>
              <w:lastRenderedPageBreak/>
              <w:t xml:space="preserve">autonomije pod punim opterećenjem; redundantan klimatizacijski sustav s nadzorom rada, vatrodojavni sustav, video-nadzor. </w:t>
            </w:r>
          </w:p>
          <w:p w:rsidR="000A61C1" w:rsidRPr="000A61C1" w:rsidRDefault="000A61C1" w:rsidP="000A61C1">
            <w:pPr>
              <w:rPr>
                <w:rFonts w:ascii="Times New Roman" w:hAnsi="Times New Roman" w:cs="Times New Roman"/>
              </w:rPr>
            </w:pPr>
            <w:r w:rsidRPr="000A61C1">
              <w:rPr>
                <w:rFonts w:ascii="Times New Roman" w:hAnsi="Times New Roman" w:cs="Times New Roman"/>
              </w:rPr>
              <w:t xml:space="preserve">U svezi s </w:t>
            </w:r>
            <w:proofErr w:type="spellStart"/>
            <w:r w:rsidRPr="000A61C1">
              <w:rPr>
                <w:rFonts w:ascii="Times New Roman" w:hAnsi="Times New Roman" w:cs="Times New Roman"/>
              </w:rPr>
              <w:t>georedundancijom</w:t>
            </w:r>
            <w:proofErr w:type="spellEnd"/>
            <w:r w:rsidRPr="000A61C1">
              <w:rPr>
                <w:rFonts w:ascii="Times New Roman" w:hAnsi="Times New Roman" w:cs="Times New Roman"/>
              </w:rPr>
              <w:t xml:space="preserve"> te u svezi s obveznom osiguravanja pouzdanosti i visoke raspoloživosti podatkovnog povezivanja IP VPN-a koja mora biti izuzetno visoka (SLA najmanje 99,93% ili viši) putem redundancije u fizičkom pristupu lokacije na Ponuditeljevu mrežu te putem redundantne pristupne aktivne opreme na lokaciji Naručitelja, Ponuditelj ujedno mora posjedovati važeći međunarodni certifikat ISO 22301:2012 ili jednakovrijedan dokument koji dokazuje sukladnost sa standardom za upravljanje kontinuitetom poslovanja unutar organizacije, certificiran od neovisne strane akreditiranih certifikacijskih tijela. Certifikat dokazuje dosljednost u osiguravanju visoke raspoloživosti, </w:t>
            </w:r>
            <w:proofErr w:type="spellStart"/>
            <w:r w:rsidRPr="000A61C1">
              <w:rPr>
                <w:rFonts w:ascii="Times New Roman" w:hAnsi="Times New Roman" w:cs="Times New Roman"/>
              </w:rPr>
              <w:t>proaktivan</w:t>
            </w:r>
            <w:proofErr w:type="spellEnd"/>
            <w:r w:rsidRPr="000A61C1">
              <w:rPr>
                <w:rFonts w:ascii="Times New Roman" w:hAnsi="Times New Roman" w:cs="Times New Roman"/>
              </w:rPr>
              <w:t xml:space="preserve"> pristup u identifikaciji prijetnji te smanjivanju  rizika poslovanja, kao i učinkovito upravljanje u trenutku nastupa prekida, čime bi Naručitelju bila osigurana maksimalna dostupnost proizvoda i usluga koje su predmet nabave. Naručitelj je mišljenja da Ponuditelj koji posjeduje navedeni certifikat raspolaže mjerama za nastavak vlastitog poslovanja u slučaju katastrofe što i Naručitelju povećava sigurnost poslovanja sa takvim Ponuditeljem. Certifikatom Ponuditelj dokazuje da je osposobljen pružati usluge 24x7 (24 sata na dan, 7 dana u tjednu tijekom cijele godine) s obzirom na veličinu, važnost i složenost poslovnog i komunikacijskog sustava Naručitelja kojemu je komunikacija i razmjena informacija iznimno bitna za poslovanje te kojemu bilo kakav nedostatak u mogućnosti komunikacije na ovoj razini može biti uzrok velikih problema u obavljanju Naručiteljeve djelatnosti.</w:t>
            </w:r>
          </w:p>
          <w:p w:rsidR="000A61C1" w:rsidRPr="000A61C1" w:rsidRDefault="000A61C1" w:rsidP="000A61C1">
            <w:pPr>
              <w:rPr>
                <w:rFonts w:ascii="Times New Roman" w:hAnsi="Times New Roman" w:cs="Times New Roman"/>
              </w:rPr>
            </w:pPr>
          </w:p>
          <w:p w:rsidR="000A61C1" w:rsidRPr="000A61C1" w:rsidRDefault="00C86B9C" w:rsidP="000A61C1">
            <w:pPr>
              <w:rPr>
                <w:rFonts w:ascii="Times New Roman" w:hAnsi="Times New Roman" w:cs="Times New Roman"/>
              </w:rPr>
            </w:pPr>
            <w:r>
              <w:rPr>
                <w:rFonts w:ascii="Times New Roman" w:hAnsi="Times New Roman" w:cs="Times New Roman"/>
              </w:rPr>
              <w:t>N</w:t>
            </w:r>
            <w:r w:rsidR="000A61C1" w:rsidRPr="000A61C1">
              <w:rPr>
                <w:rFonts w:ascii="Times New Roman" w:hAnsi="Times New Roman" w:cs="Times New Roman"/>
              </w:rPr>
              <w:t>avodi</w:t>
            </w:r>
            <w:r>
              <w:rPr>
                <w:rFonts w:ascii="Times New Roman" w:hAnsi="Times New Roman" w:cs="Times New Roman"/>
              </w:rPr>
              <w:t>mo</w:t>
            </w:r>
            <w:r w:rsidR="000A61C1" w:rsidRPr="000A61C1">
              <w:rPr>
                <w:rFonts w:ascii="Times New Roman" w:hAnsi="Times New Roman" w:cs="Times New Roman"/>
              </w:rPr>
              <w:t xml:space="preserve"> kako u sklopu Grada Zagreba kao središnjeg tijela javne nabave djeluju službe od iznimne važnosti, a zadužene za hitne slučajeve koje djeluju u službi svih građana Grada Zagreba. Naglašava se da je od presudne i ključne važnosti kontinuitet poslovanja službi kako bi iste ispunile svoju temeljnu svrhu i zadaću.  Zbog navedenog je nužno osigurati sve moguće temelje za besprijekorno funkcioniranje iz nadležnosti istih, a kako bi se omogućilo služenje građanima Grada Zagreba na najbolji mogući način.   </w:t>
            </w:r>
          </w:p>
          <w:p w:rsidR="000A61C1" w:rsidRPr="000A61C1" w:rsidRDefault="000A61C1" w:rsidP="000A61C1">
            <w:pPr>
              <w:rPr>
                <w:rFonts w:ascii="Times New Roman" w:hAnsi="Times New Roman" w:cs="Times New Roman"/>
              </w:rPr>
            </w:pPr>
          </w:p>
          <w:p w:rsidR="000A61C1" w:rsidRPr="000A61C1" w:rsidRDefault="000A61C1" w:rsidP="000A61C1">
            <w:pPr>
              <w:rPr>
                <w:rFonts w:ascii="Times New Roman" w:hAnsi="Times New Roman" w:cs="Times New Roman"/>
              </w:rPr>
            </w:pPr>
            <w:r w:rsidRPr="000A61C1">
              <w:rPr>
                <w:rFonts w:ascii="Times New Roman" w:hAnsi="Times New Roman" w:cs="Times New Roman"/>
              </w:rPr>
              <w:t xml:space="preserve">Stoga se ističe  kako je od iznimne važnosti da Ponuditelj ne može niti u kojem trenutku dovesti u pitanje izvršenje svojih ugovornih </w:t>
            </w:r>
            <w:r w:rsidRPr="000A61C1">
              <w:rPr>
                <w:rFonts w:ascii="Times New Roman" w:hAnsi="Times New Roman" w:cs="Times New Roman"/>
              </w:rPr>
              <w:lastRenderedPageBreak/>
              <w:t>obveza, a samim time i opasnost funkcioniranja telekomunikacijskog sustava kojem Naručitelj pripada zbog iznimne važnosti hitnih službi Grada Zagreba.</w:t>
            </w:r>
          </w:p>
          <w:p w:rsidR="000A61C1" w:rsidRPr="000A61C1" w:rsidRDefault="000A61C1" w:rsidP="000A61C1">
            <w:pPr>
              <w:rPr>
                <w:rFonts w:ascii="Times New Roman" w:hAnsi="Times New Roman" w:cs="Times New Roman"/>
              </w:rPr>
            </w:pPr>
          </w:p>
          <w:p w:rsidR="000A61C1" w:rsidRPr="000A61C1" w:rsidRDefault="000A61C1" w:rsidP="000A61C1">
            <w:pPr>
              <w:rPr>
                <w:rFonts w:ascii="Times New Roman" w:hAnsi="Times New Roman" w:cs="Times New Roman"/>
              </w:rPr>
            </w:pPr>
          </w:p>
          <w:p w:rsidR="000A61C1" w:rsidRPr="000A61C1" w:rsidRDefault="000A61C1" w:rsidP="000A61C1">
            <w:pPr>
              <w:rPr>
                <w:rFonts w:ascii="Times New Roman" w:hAnsi="Times New Roman" w:cs="Times New Roman"/>
              </w:rPr>
            </w:pPr>
            <w:r w:rsidRPr="000A61C1">
              <w:rPr>
                <w:rFonts w:ascii="Times New Roman" w:hAnsi="Times New Roman" w:cs="Times New Roman"/>
              </w:rPr>
              <w:t>Tako se ukazuje  Naručitelju kako je nužno i iznimno bitno osigurati kontinuitet pružanja  usluge primjerice Domovima zdravlja, Domovima za starije osobe, Kliničkoj bolnici „Sveti Duh“ Zagreb,  Psihijatrijskoj bolnici za djecu i  mladež, Poliklinici za rehabilitaciju slušanja i govora, Javnoj vatrogasnoj postrojbi Grada Zagreba, odnosno  svim pojedinačnim naručiteljima koji između ostalog obavljaju zdravstvenu djelatnost i djelatnost zaštite od požara, obrazovnu djelatnost  koji su taksativno navedeni u toč.1. nacrta DoN-a.</w:t>
            </w:r>
          </w:p>
          <w:p w:rsidR="000A61C1" w:rsidRPr="000A61C1" w:rsidRDefault="000A61C1" w:rsidP="000A61C1">
            <w:pPr>
              <w:rPr>
                <w:rFonts w:ascii="Times New Roman" w:hAnsi="Times New Roman" w:cs="Times New Roman"/>
              </w:rPr>
            </w:pPr>
          </w:p>
          <w:p w:rsidR="000A61C1" w:rsidRPr="000A61C1" w:rsidRDefault="000A61C1" w:rsidP="000A61C1">
            <w:pPr>
              <w:rPr>
                <w:rFonts w:ascii="Times New Roman" w:hAnsi="Times New Roman" w:cs="Times New Roman"/>
              </w:rPr>
            </w:pPr>
            <w:r w:rsidRPr="000A61C1">
              <w:rPr>
                <w:rFonts w:ascii="Times New Roman" w:hAnsi="Times New Roman" w:cs="Times New Roman"/>
              </w:rPr>
              <w:t>Smatra se kako je pokazatelj razine pouzdanosti i kakvoće pružanja javnih telekomunikacijskih usluga u nepokretnoj elektroničkoj komunikacijskoj mreži, posjedovanje certifikata ISO 22301:2012 ili jednakovrijedan dokument, od izuzetne važnosti prilikom procjene kontinuiteta poslovanja svih Gradskih službi, uzimajući u obzir i kvalitetu održavanja usluga i spremnost na brzo otklanjanje kvara, što i doliči Gradu Zagrebu prepoznatljivom u europskim okvirima, kao izuzetno važnog subjekta po pitanju pružanja javnih servisa vlastitim građanima koji služi kao primjer svim ostalim gradovima  u Republici Hrvatskoj.</w:t>
            </w:r>
          </w:p>
          <w:p w:rsidR="000A61C1" w:rsidRPr="000A61C1" w:rsidRDefault="000A61C1" w:rsidP="00C86B9C">
            <w:pPr>
              <w:rPr>
                <w:rFonts w:ascii="Times New Roman" w:hAnsi="Times New Roman" w:cs="Times New Roman"/>
              </w:rPr>
            </w:pPr>
            <w:r w:rsidRPr="000A61C1">
              <w:rPr>
                <w:rFonts w:ascii="Times New Roman" w:hAnsi="Times New Roman" w:cs="Times New Roman"/>
              </w:rPr>
              <w:t xml:space="preserve">Uzimajući u obzir prethodno navedeno, a s obzirom na veličinu predmetnog naručitelja i zahtijevanu tehničku podršku istome, </w:t>
            </w:r>
            <w:r w:rsidR="00C86B9C">
              <w:rPr>
                <w:rFonts w:ascii="Times New Roman" w:hAnsi="Times New Roman" w:cs="Times New Roman"/>
              </w:rPr>
              <w:t>p</w:t>
            </w:r>
            <w:r w:rsidRPr="000A61C1">
              <w:rPr>
                <w:rFonts w:ascii="Times New Roman" w:hAnsi="Times New Roman" w:cs="Times New Roman"/>
              </w:rPr>
              <w:t>redlaže</w:t>
            </w:r>
            <w:r w:rsidR="00C86B9C">
              <w:rPr>
                <w:rFonts w:ascii="Times New Roman" w:hAnsi="Times New Roman" w:cs="Times New Roman"/>
              </w:rPr>
              <w:t>mo</w:t>
            </w:r>
            <w:r w:rsidRPr="000A61C1">
              <w:rPr>
                <w:rFonts w:ascii="Times New Roman" w:hAnsi="Times New Roman" w:cs="Times New Roman"/>
              </w:rPr>
              <w:t xml:space="preserve"> dopunu dijela dokumentacije o nabavi, a sve kako je naprijed  podrobno opisano.</w:t>
            </w:r>
          </w:p>
        </w:tc>
        <w:tc>
          <w:tcPr>
            <w:tcW w:w="4077" w:type="dxa"/>
          </w:tcPr>
          <w:p w:rsidR="00A2598F" w:rsidRDefault="00A2598F" w:rsidP="00EF3B04">
            <w:pPr>
              <w:rPr>
                <w:rFonts w:ascii="Times New Roman" w:hAnsi="Times New Roman" w:cs="Times New Roman"/>
              </w:rPr>
            </w:pPr>
          </w:p>
          <w:p w:rsidR="00A2598F" w:rsidRDefault="00A2598F" w:rsidP="00EF3B04">
            <w:pPr>
              <w:rPr>
                <w:rFonts w:ascii="Times New Roman" w:hAnsi="Times New Roman" w:cs="Times New Roman"/>
              </w:rPr>
            </w:pPr>
          </w:p>
          <w:p w:rsidR="000A61C1" w:rsidRDefault="00C0088C" w:rsidP="00EF3B04">
            <w:pPr>
              <w:rPr>
                <w:rFonts w:ascii="Times New Roman" w:hAnsi="Times New Roman" w:cs="Times New Roman"/>
              </w:rPr>
            </w:pPr>
            <w:r>
              <w:rPr>
                <w:rFonts w:ascii="Times New Roman" w:hAnsi="Times New Roman" w:cs="Times New Roman"/>
              </w:rPr>
              <w:t xml:space="preserve">3. </w:t>
            </w:r>
          </w:p>
          <w:p w:rsidR="00995DE4" w:rsidRDefault="00995DE4" w:rsidP="00EF3B04">
            <w:pPr>
              <w:rPr>
                <w:rFonts w:ascii="Times New Roman" w:hAnsi="Times New Roman" w:cs="Times New Roman"/>
              </w:rPr>
            </w:pPr>
          </w:p>
          <w:p w:rsidR="00466BE3" w:rsidRDefault="00466BE3" w:rsidP="00EF3B04">
            <w:pPr>
              <w:rPr>
                <w:rFonts w:ascii="Times New Roman" w:hAnsi="Times New Roman" w:cs="Times New Roman"/>
              </w:rPr>
            </w:pPr>
          </w:p>
          <w:p w:rsidR="00C0088C" w:rsidRDefault="00C0088C" w:rsidP="00EF3B04">
            <w:pPr>
              <w:rPr>
                <w:rFonts w:ascii="Times New Roman" w:hAnsi="Times New Roman" w:cs="Times New Roman"/>
              </w:rPr>
            </w:pPr>
            <w:r>
              <w:rPr>
                <w:rFonts w:ascii="Times New Roman" w:hAnsi="Times New Roman" w:cs="Times New Roman"/>
              </w:rPr>
              <w:t>C</w:t>
            </w:r>
            <w:r w:rsidRPr="00C0088C">
              <w:rPr>
                <w:rFonts w:ascii="Times New Roman" w:hAnsi="Times New Roman" w:cs="Times New Roman"/>
              </w:rPr>
              <w:t xml:space="preserve">ertifikat ISO 22301:2012 </w:t>
            </w:r>
            <w:r w:rsidR="00173550">
              <w:rPr>
                <w:rFonts w:ascii="Times New Roman" w:hAnsi="Times New Roman" w:cs="Times New Roman"/>
              </w:rPr>
              <w:t xml:space="preserve">ili jednakovrijedan </w:t>
            </w:r>
            <w:r>
              <w:rPr>
                <w:rFonts w:ascii="Times New Roman" w:hAnsi="Times New Roman" w:cs="Times New Roman"/>
              </w:rPr>
              <w:t xml:space="preserve">nije u </w:t>
            </w:r>
            <w:r w:rsidR="00F55995">
              <w:rPr>
                <w:rFonts w:ascii="Times New Roman" w:hAnsi="Times New Roman" w:cs="Times New Roman"/>
              </w:rPr>
              <w:t xml:space="preserve">neposrednoj vezi s predmetom nabave te se prijedlog </w:t>
            </w:r>
            <w:r w:rsidR="001B44FA">
              <w:rPr>
                <w:rFonts w:ascii="Times New Roman" w:hAnsi="Times New Roman" w:cs="Times New Roman"/>
              </w:rPr>
              <w:t>gospodarskog subjekta za izmjenom dokumentacije ne prihvaća.</w:t>
            </w: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Default="00385A93" w:rsidP="00EF3B04">
            <w:pPr>
              <w:rPr>
                <w:rFonts w:ascii="Times New Roman" w:hAnsi="Times New Roman" w:cs="Times New Roman"/>
              </w:rPr>
            </w:pPr>
          </w:p>
          <w:p w:rsidR="00385A93" w:rsidRPr="00171039" w:rsidRDefault="00385A93" w:rsidP="00EF3B04">
            <w:pPr>
              <w:rPr>
                <w:rFonts w:ascii="Times New Roman" w:hAnsi="Times New Roman" w:cs="Times New Roman"/>
              </w:rPr>
            </w:pPr>
          </w:p>
        </w:tc>
      </w:tr>
      <w:tr w:rsidR="000A61C1" w:rsidRPr="00171039" w:rsidTr="00A864F3">
        <w:trPr>
          <w:trHeight w:val="253"/>
        </w:trPr>
        <w:tc>
          <w:tcPr>
            <w:tcW w:w="705" w:type="dxa"/>
          </w:tcPr>
          <w:p w:rsidR="000A61C1" w:rsidRDefault="000A61C1" w:rsidP="00EF3B04">
            <w:pPr>
              <w:rPr>
                <w:rFonts w:ascii="Times New Roman" w:hAnsi="Times New Roman" w:cs="Times New Roman"/>
              </w:rPr>
            </w:pPr>
            <w:r>
              <w:rPr>
                <w:rFonts w:ascii="Times New Roman" w:hAnsi="Times New Roman" w:cs="Times New Roman"/>
              </w:rPr>
              <w:lastRenderedPageBreak/>
              <w:t>4.</w:t>
            </w:r>
          </w:p>
        </w:tc>
        <w:tc>
          <w:tcPr>
            <w:tcW w:w="4504" w:type="dxa"/>
            <w:gridSpan w:val="2"/>
          </w:tcPr>
          <w:p w:rsidR="000A61C1" w:rsidRPr="000A61C1" w:rsidRDefault="000A61C1" w:rsidP="000A61C1">
            <w:pPr>
              <w:rPr>
                <w:rFonts w:ascii="Times New Roman" w:hAnsi="Times New Roman" w:cs="Times New Roman"/>
              </w:rPr>
            </w:pPr>
            <w:r w:rsidRPr="000A61C1">
              <w:rPr>
                <w:rFonts w:ascii="Times New Roman" w:hAnsi="Times New Roman" w:cs="Times New Roman"/>
              </w:rPr>
              <w:t>Na stranici 6. prijedloga dokume</w:t>
            </w:r>
            <w:r w:rsidR="00C86B9C">
              <w:rPr>
                <w:rFonts w:ascii="Times New Roman" w:hAnsi="Times New Roman" w:cs="Times New Roman"/>
              </w:rPr>
              <w:t>n</w:t>
            </w:r>
            <w:r w:rsidRPr="000A61C1">
              <w:rPr>
                <w:rFonts w:ascii="Times New Roman" w:hAnsi="Times New Roman" w:cs="Times New Roman"/>
              </w:rPr>
              <w:t>tacije Naručitelj navodi:</w:t>
            </w:r>
          </w:p>
          <w:p w:rsidR="000A61C1" w:rsidRPr="000A61C1" w:rsidRDefault="000A61C1" w:rsidP="000A61C1">
            <w:pPr>
              <w:rPr>
                <w:rFonts w:ascii="Times New Roman" w:hAnsi="Times New Roman" w:cs="Times New Roman"/>
              </w:rPr>
            </w:pPr>
          </w:p>
          <w:p w:rsidR="000A61C1" w:rsidRPr="000A61C1" w:rsidRDefault="000A61C1" w:rsidP="000A61C1">
            <w:pPr>
              <w:rPr>
                <w:rFonts w:ascii="Times New Roman" w:hAnsi="Times New Roman" w:cs="Times New Roman"/>
              </w:rPr>
            </w:pPr>
            <w:r w:rsidRPr="000A61C1">
              <w:rPr>
                <w:rFonts w:ascii="Times New Roman" w:hAnsi="Times New Roman" w:cs="Times New Roman"/>
              </w:rPr>
              <w:t xml:space="preserve">Središnje tijelo za javnu nabavu  može tijekom pregleda i ocjene ponuda a prije donošenja odluke o odabiru provesti postupak kontrole ponuđenih usluga navedenih u Troškovniku. Postupak kontrole uključuje realizacije pilot priključaka i usluga na najviše pet lokacija te njihovu sukladnost s uvjetima iz Dokumentacije </w:t>
            </w:r>
            <w:r w:rsidRPr="000A61C1">
              <w:rPr>
                <w:rFonts w:ascii="Times New Roman" w:hAnsi="Times New Roman" w:cs="Times New Roman"/>
              </w:rPr>
              <w:lastRenderedPageBreak/>
              <w:t>za nadmetanje. Izjavu o prihvaćanju postupka kontrole ponuđene usluge potpisuje osoba ovlaštena za zastupanje Ponuditelja.</w:t>
            </w:r>
          </w:p>
          <w:p w:rsidR="000A61C1" w:rsidRPr="000A61C1" w:rsidRDefault="000A61C1" w:rsidP="000A61C1">
            <w:pPr>
              <w:rPr>
                <w:rFonts w:ascii="Times New Roman" w:hAnsi="Times New Roman" w:cs="Times New Roman"/>
              </w:rPr>
            </w:pPr>
          </w:p>
          <w:p w:rsidR="000A61C1" w:rsidRPr="000A61C1" w:rsidRDefault="000A61C1" w:rsidP="000A61C1">
            <w:pPr>
              <w:rPr>
                <w:rFonts w:ascii="Times New Roman" w:hAnsi="Times New Roman" w:cs="Times New Roman"/>
              </w:rPr>
            </w:pPr>
            <w:r w:rsidRPr="000A61C1">
              <w:rPr>
                <w:rFonts w:ascii="Times New Roman" w:hAnsi="Times New Roman" w:cs="Times New Roman"/>
              </w:rPr>
              <w:t>Kao zainteresirani ponuditelj predlažemo uklanjanje navedenog postupka iz dokumentacije za nadmetanje jer isti smatramo nepotrebnim obzirom da se istim narušava načelo ekonomičnosti postupka, nepotrebno se produžuje i komplicira te podiže trošak postupka pregleda i ocjene ponuda te donošenja odluke o odabiru. Usluge koje su predmet nabave i nad kojima bi se provodilo testiranje su standardne telekomunikacijske usluge koje se pružaju na lokacijama koje su u urbanom području, na tržištu nema novih telekomunikacijski operatora koji bi mogli sudjelovati u ovako opsežnom nadmetanju, pa bi se bilo potrebno uvjeriti kroz postupak kontrole u mogućnosti, kvalitetu i pokrivenost novog operatora na tržištu. Naručitelj može biti apsolutno siguran u mogućnost izvršavanja usluga koje su predmet nabave obzirom da potencijalni ponuditelji moraju dokazati svoju tehničku i stručnu sposobnost na propisani način:</w:t>
            </w:r>
          </w:p>
          <w:p w:rsidR="000A61C1" w:rsidRPr="000A61C1" w:rsidRDefault="000A61C1" w:rsidP="000A61C1">
            <w:pPr>
              <w:rPr>
                <w:rFonts w:ascii="Times New Roman" w:hAnsi="Times New Roman" w:cs="Times New Roman"/>
              </w:rPr>
            </w:pPr>
          </w:p>
          <w:p w:rsidR="000A61C1" w:rsidRPr="000A61C1" w:rsidRDefault="000A61C1" w:rsidP="000A61C1">
            <w:pPr>
              <w:rPr>
                <w:rFonts w:ascii="Times New Roman" w:hAnsi="Times New Roman" w:cs="Times New Roman"/>
              </w:rPr>
            </w:pPr>
            <w:r w:rsidRPr="000A61C1">
              <w:rPr>
                <w:rFonts w:ascii="Times New Roman" w:hAnsi="Times New Roman" w:cs="Times New Roman"/>
              </w:rPr>
              <w:t>Gospodarski subjekt mora dokazati da je u godini u kojoj je započeo postupak javne nabave i tijekom tri godine koje prethode toj godini pružio usluge iste ili slične predmetu nabave s time da zbroj vrijednosti bez PDV-a najmanje 2 (dva) najviše 6 (šest) ugovora pružene/ih usluge/a mora biti minimalno u visini   ¼ procijenjene vrijednosti nabave čime gospodarski subjekt dokazuje da ima potrebno iskustvo, znanje i sposobnost i da je, s obzirom na opseg, predmet i procijenjenu vrijednost nabave, sposoban kvalitetno obavljati usluge iz predmeta nabave.</w:t>
            </w:r>
          </w:p>
          <w:p w:rsidR="000A61C1" w:rsidRPr="000A61C1" w:rsidRDefault="000A61C1" w:rsidP="000A61C1">
            <w:pPr>
              <w:rPr>
                <w:rFonts w:ascii="Times New Roman" w:hAnsi="Times New Roman" w:cs="Times New Roman"/>
              </w:rPr>
            </w:pPr>
          </w:p>
          <w:p w:rsidR="000A61C1" w:rsidRPr="000A61C1" w:rsidRDefault="000A61C1" w:rsidP="000A61C1">
            <w:pPr>
              <w:rPr>
                <w:rFonts w:ascii="Times New Roman" w:hAnsi="Times New Roman" w:cs="Times New Roman"/>
              </w:rPr>
            </w:pPr>
            <w:r w:rsidRPr="000A61C1">
              <w:rPr>
                <w:rFonts w:ascii="Times New Roman" w:hAnsi="Times New Roman" w:cs="Times New Roman"/>
              </w:rPr>
              <w:t>Te su dužni dostaviti jamstvo za ozbiljnost ponude i jamstva za uredno ispunjenje ugovora u značajnim iznosima.</w:t>
            </w:r>
            <w:r>
              <w:t xml:space="preserve"> </w:t>
            </w:r>
            <w:r w:rsidRPr="000A61C1">
              <w:rPr>
                <w:rFonts w:ascii="Times New Roman" w:hAnsi="Times New Roman" w:cs="Times New Roman"/>
              </w:rPr>
              <w:t xml:space="preserve">Ukoliko se Naručitelj ne odluči za uklanjanje navedenog postupka iz dokumentacije potrebno je isti učiniti </w:t>
            </w:r>
            <w:proofErr w:type="spellStart"/>
            <w:r w:rsidRPr="000A61C1">
              <w:rPr>
                <w:rFonts w:ascii="Times New Roman" w:hAnsi="Times New Roman" w:cs="Times New Roman"/>
              </w:rPr>
              <w:t>transparentnijim</w:t>
            </w:r>
            <w:proofErr w:type="spellEnd"/>
            <w:r w:rsidRPr="000A61C1">
              <w:rPr>
                <w:rFonts w:ascii="Times New Roman" w:hAnsi="Times New Roman" w:cs="Times New Roman"/>
              </w:rPr>
              <w:t xml:space="preserve"> za potencijalne ponuditelje koji nisu postojeći pružatelji usluge na način da se jasno u dokumentaciji definiraju adrese lokacija i usluge na kojima bi se provodio postupak kontrole te da se jasno navedu rokovi realizacije usluga na pilot lokacijama</w:t>
            </w:r>
            <w:r w:rsidRPr="00C84F8E">
              <w:rPr>
                <w:rFonts w:ascii="Times New Roman" w:hAnsi="Times New Roman" w:cs="Times New Roman"/>
              </w:rPr>
              <w:t>, a koji su u skladu sa rokovima realizacije novih priključaka koji su propisani od strane tržišnog regulatora (HAKOM). U protivnom, ukoliko se od potencijalnih ponuditelja</w:t>
            </w:r>
            <w:r w:rsidRPr="000A61C1">
              <w:rPr>
                <w:rFonts w:ascii="Times New Roman" w:hAnsi="Times New Roman" w:cs="Times New Roman"/>
              </w:rPr>
              <w:t xml:space="preserve">, a koji nisu postojeći </w:t>
            </w:r>
            <w:r w:rsidRPr="000A61C1">
              <w:rPr>
                <w:rFonts w:ascii="Times New Roman" w:hAnsi="Times New Roman" w:cs="Times New Roman"/>
              </w:rPr>
              <w:lastRenderedPageBreak/>
              <w:t xml:space="preserve">pružatelj usluga zatraže kratki rokovi realizacije koji nisu ostvarivi i protivni su propisanim rokovima realizacije novih priključaka od strane regulatora automatski se dovodi postojećeg pružatelja usluga u povlašteni položaj te se istome na taj način pogoduje dok se ostale potencijalne ponuditelje diskriminira što je protivno zakonu i načelima javne nabave odnosno ne poštuje se načelo jednakog tretmana i načelu zabrane diskriminacije koja su navedena na stranici 10 dokumentacije za nadmetanje. U slučaju realizacije novog priključka putem žičane bakrene </w:t>
            </w:r>
            <w:r w:rsidRPr="00C84F8E">
              <w:rPr>
                <w:rFonts w:ascii="Times New Roman" w:hAnsi="Times New Roman" w:cs="Times New Roman"/>
              </w:rPr>
              <w:t>parice minimalni rok za realizaciju je 20 dana dok je na svjetlovodnoj infrastrukturi to 30 dana kako</w:t>
            </w:r>
            <w:r w:rsidRPr="000A61C1">
              <w:rPr>
                <w:rFonts w:ascii="Times New Roman" w:hAnsi="Times New Roman" w:cs="Times New Roman"/>
              </w:rPr>
              <w:t xml:space="preserve"> realizacija bila u skladu sa propisima koji reguliraju područje elektroničkih komunikacija u nepokretnoj mreži.</w:t>
            </w:r>
          </w:p>
          <w:p w:rsidR="000A61C1" w:rsidRPr="000A61C1" w:rsidRDefault="000A61C1" w:rsidP="000A61C1">
            <w:pPr>
              <w:rPr>
                <w:rFonts w:ascii="Times New Roman" w:hAnsi="Times New Roman" w:cs="Times New Roman"/>
              </w:rPr>
            </w:pPr>
          </w:p>
          <w:p w:rsidR="000A61C1" w:rsidRPr="000A61C1" w:rsidRDefault="000A61C1" w:rsidP="000A61C1">
            <w:pPr>
              <w:rPr>
                <w:rFonts w:ascii="Times New Roman" w:hAnsi="Times New Roman" w:cs="Times New Roman"/>
              </w:rPr>
            </w:pPr>
          </w:p>
          <w:p w:rsidR="000A61C1" w:rsidRPr="000A61C1" w:rsidRDefault="000A61C1" w:rsidP="000A61C1">
            <w:pPr>
              <w:rPr>
                <w:rFonts w:ascii="Times New Roman" w:hAnsi="Times New Roman" w:cs="Times New Roman"/>
              </w:rPr>
            </w:pPr>
            <w:r w:rsidRPr="000A61C1">
              <w:rPr>
                <w:rFonts w:ascii="Times New Roman" w:hAnsi="Times New Roman" w:cs="Times New Roman"/>
              </w:rPr>
              <w:t>Kako bi se svim potencijalnim ponuditeljima osigurao jednak tretman i kako bi se osiguralo djelotvorno i transparentno tržišno natjecanje predlaže se da rok za dostavu ponuda bude maksimalan koji Zakon o javnoj nabavi propisuje kako bi svi potencijalni ponuditelji imali dovoljno vremena za pripremu ovako opsežnog predmeta nabave.</w:t>
            </w:r>
          </w:p>
          <w:p w:rsidR="000A61C1" w:rsidRPr="000A61C1" w:rsidRDefault="000A61C1" w:rsidP="000A61C1">
            <w:pPr>
              <w:rPr>
                <w:rFonts w:ascii="Times New Roman" w:hAnsi="Times New Roman" w:cs="Times New Roman"/>
              </w:rPr>
            </w:pPr>
          </w:p>
          <w:p w:rsidR="000A61C1" w:rsidRPr="000A61C1" w:rsidRDefault="000A61C1" w:rsidP="000A61C1">
            <w:pPr>
              <w:rPr>
                <w:rFonts w:ascii="Times New Roman" w:hAnsi="Times New Roman" w:cs="Times New Roman"/>
              </w:rPr>
            </w:pPr>
            <w:r w:rsidRPr="000A61C1">
              <w:rPr>
                <w:rFonts w:ascii="Times New Roman" w:hAnsi="Times New Roman" w:cs="Times New Roman"/>
              </w:rPr>
              <w:t xml:space="preserve">S obzirom na veliki broj lokacija na kojima se pružaju usluge, te značajnu količinu opreme koju je potrebno isporučiti na </w:t>
            </w:r>
            <w:proofErr w:type="spellStart"/>
            <w:r w:rsidRPr="000A61C1">
              <w:rPr>
                <w:rFonts w:ascii="Times New Roman" w:hAnsi="Times New Roman" w:cs="Times New Roman"/>
              </w:rPr>
              <w:t>pojednim</w:t>
            </w:r>
            <w:proofErr w:type="spellEnd"/>
            <w:r w:rsidRPr="000A61C1">
              <w:rPr>
                <w:rFonts w:ascii="Times New Roman" w:hAnsi="Times New Roman" w:cs="Times New Roman"/>
              </w:rPr>
              <w:t xml:space="preserve"> lokacijama kao i činjenicu da će u slučaju odabira novog operatora proći određeno vrijeme u konzultacijama i usklađivanju terminskih planova i ostalih informacija bitnih za početak same realizacije, te vodeći brigu o propisima sa područja elekt</w:t>
            </w:r>
            <w:r w:rsidR="00672757">
              <w:rPr>
                <w:rFonts w:ascii="Times New Roman" w:hAnsi="Times New Roman" w:cs="Times New Roman"/>
              </w:rPr>
              <w:t>r</w:t>
            </w:r>
            <w:r w:rsidRPr="000A61C1">
              <w:rPr>
                <w:rFonts w:ascii="Times New Roman" w:hAnsi="Times New Roman" w:cs="Times New Roman"/>
              </w:rPr>
              <w:t>oničkih komun</w:t>
            </w:r>
            <w:r w:rsidR="00672757">
              <w:rPr>
                <w:rFonts w:ascii="Times New Roman" w:hAnsi="Times New Roman" w:cs="Times New Roman"/>
              </w:rPr>
              <w:t>i</w:t>
            </w:r>
            <w:r w:rsidRPr="000A61C1">
              <w:rPr>
                <w:rFonts w:ascii="Times New Roman" w:hAnsi="Times New Roman" w:cs="Times New Roman"/>
              </w:rPr>
              <w:t xml:space="preserve">kacija koji reguliraju rokove za realizaciju,  a kako bi se svim potencijalnim ponuditeljima osigurao jednak tretman i kako bi se osiguralo djelotvorno i transparentno tržišno natjecanje predlaže se da rok za realizaciju usluga podigne </w:t>
            </w:r>
            <w:r w:rsidRPr="005C517A">
              <w:rPr>
                <w:rFonts w:ascii="Times New Roman" w:hAnsi="Times New Roman" w:cs="Times New Roman"/>
              </w:rPr>
              <w:t>sa 45 na 90 dana po potpisu pojedinačnog</w:t>
            </w:r>
            <w:r w:rsidRPr="000A61C1">
              <w:rPr>
                <w:rFonts w:ascii="Times New Roman" w:hAnsi="Times New Roman" w:cs="Times New Roman"/>
              </w:rPr>
              <w:t xml:space="preserve"> ugovora. Navedeni rokovi realizacije su uobičajeni u postupcima koji obuhvaćaju ovoliki broj lokacija na kojima je potrebno realizirati usluge.</w:t>
            </w:r>
          </w:p>
          <w:p w:rsidR="000A61C1" w:rsidRPr="000A61C1" w:rsidRDefault="000A61C1" w:rsidP="000A61C1">
            <w:pPr>
              <w:rPr>
                <w:rFonts w:ascii="Times New Roman" w:hAnsi="Times New Roman" w:cs="Times New Roman"/>
              </w:rPr>
            </w:pPr>
          </w:p>
          <w:p w:rsidR="000A61C1" w:rsidRPr="000A61C1" w:rsidRDefault="000A61C1" w:rsidP="000A61C1">
            <w:pPr>
              <w:rPr>
                <w:rFonts w:ascii="Times New Roman" w:hAnsi="Times New Roman" w:cs="Times New Roman"/>
              </w:rPr>
            </w:pPr>
            <w:r w:rsidRPr="000A61C1">
              <w:rPr>
                <w:rFonts w:ascii="Times New Roman" w:hAnsi="Times New Roman" w:cs="Times New Roman"/>
              </w:rPr>
              <w:t xml:space="preserve">Na stranici 11. dokumentacije Naručitelj opisuje Najam dediciranog </w:t>
            </w:r>
            <w:proofErr w:type="spellStart"/>
            <w:r w:rsidRPr="000A61C1">
              <w:rPr>
                <w:rFonts w:ascii="Times New Roman" w:hAnsi="Times New Roman" w:cs="Times New Roman"/>
              </w:rPr>
              <w:t>VoIP</w:t>
            </w:r>
            <w:proofErr w:type="spellEnd"/>
            <w:r w:rsidRPr="000A61C1">
              <w:rPr>
                <w:rFonts w:ascii="Times New Roman" w:hAnsi="Times New Roman" w:cs="Times New Roman"/>
              </w:rPr>
              <w:t xml:space="preserve"> PBX sistema i IP telefonske opreme, a ista je navedena i u troškovniku skrećemo pozornost Naručitelju da je potrebno jasnije definirati terminski plan sa jasnim rokovima migracija po pojedinoj lokaciji, koje se usluge zadržavaju, a koje gase </w:t>
            </w:r>
            <w:r w:rsidRPr="000A61C1">
              <w:rPr>
                <w:rFonts w:ascii="Times New Roman" w:hAnsi="Times New Roman" w:cs="Times New Roman"/>
              </w:rPr>
              <w:lastRenderedPageBreak/>
              <w:t>na lokacijama koje su u migraciji, da li će dolaziti do promjene podatkovnih kapaciteta na lokacijama koje su u migraciji obzirom da popis lokacija koje su u migraciji nije poznat. Migracija značajno utječe na cjelokupan predmet nabave te je na ovakav način nemoguće ponuditeljima jasno, ned</w:t>
            </w:r>
            <w:r w:rsidR="00672757">
              <w:rPr>
                <w:rFonts w:ascii="Times New Roman" w:hAnsi="Times New Roman" w:cs="Times New Roman"/>
              </w:rPr>
              <w:t>v</w:t>
            </w:r>
            <w:r w:rsidRPr="000A61C1">
              <w:rPr>
                <w:rFonts w:ascii="Times New Roman" w:hAnsi="Times New Roman" w:cs="Times New Roman"/>
              </w:rPr>
              <w:t xml:space="preserve">osmisleno i transparentno procijeniti troškove, isplativost, a samim time i definirati cijene usluga i popuniti troškovnik, a nejasno je i kako je procijenjena vrijednost nabave bez navedenog jasnog terminskog plana migracije. </w:t>
            </w:r>
          </w:p>
          <w:p w:rsidR="000A61C1" w:rsidRPr="000A61C1" w:rsidRDefault="000A61C1" w:rsidP="000A61C1">
            <w:pPr>
              <w:rPr>
                <w:rFonts w:ascii="Times New Roman" w:hAnsi="Times New Roman" w:cs="Times New Roman"/>
              </w:rPr>
            </w:pPr>
            <w:r w:rsidRPr="000A61C1">
              <w:rPr>
                <w:rFonts w:ascii="Times New Roman" w:hAnsi="Times New Roman" w:cs="Times New Roman"/>
              </w:rPr>
              <w:t xml:space="preserve">Da li Naručitelj predviđa da se odmah isporuči potpuno </w:t>
            </w:r>
            <w:proofErr w:type="spellStart"/>
            <w:r w:rsidRPr="000A61C1">
              <w:rPr>
                <w:rFonts w:ascii="Times New Roman" w:hAnsi="Times New Roman" w:cs="Times New Roman"/>
              </w:rPr>
              <w:t>dimenziniran</w:t>
            </w:r>
            <w:proofErr w:type="spellEnd"/>
            <w:r w:rsidRPr="000A61C1">
              <w:rPr>
                <w:rFonts w:ascii="Times New Roman" w:hAnsi="Times New Roman" w:cs="Times New Roman"/>
              </w:rPr>
              <w:t xml:space="preserve"> sustav i sva oprema navedena u troškovniku te da se ista naplaćuje od isporuke bez obzira na kasnije migracije udaljenih lokacija na sustav? </w:t>
            </w:r>
          </w:p>
          <w:p w:rsidR="000A61C1" w:rsidRPr="000A61C1" w:rsidRDefault="000A61C1" w:rsidP="000A61C1">
            <w:pPr>
              <w:rPr>
                <w:rFonts w:ascii="Times New Roman" w:hAnsi="Times New Roman" w:cs="Times New Roman"/>
              </w:rPr>
            </w:pPr>
            <w:r w:rsidRPr="000A61C1">
              <w:rPr>
                <w:rFonts w:ascii="Times New Roman" w:hAnsi="Times New Roman" w:cs="Times New Roman"/>
              </w:rPr>
              <w:t>Da li se predviđa da Ponuditelj skladišti opremu, pa je sukcesivno isporučuje i i</w:t>
            </w:r>
            <w:r w:rsidR="00672757">
              <w:rPr>
                <w:rFonts w:ascii="Times New Roman" w:hAnsi="Times New Roman" w:cs="Times New Roman"/>
              </w:rPr>
              <w:t>n</w:t>
            </w:r>
            <w:r w:rsidRPr="000A61C1">
              <w:rPr>
                <w:rFonts w:ascii="Times New Roman" w:hAnsi="Times New Roman" w:cs="Times New Roman"/>
              </w:rPr>
              <w:t xml:space="preserve">stalira te aktivira naplatu odnosno deaktivira postojeće usluge na lokacijama koje se migriraju? </w:t>
            </w:r>
          </w:p>
          <w:p w:rsidR="000A61C1" w:rsidRPr="000A61C1" w:rsidRDefault="000A61C1" w:rsidP="000A61C1">
            <w:pPr>
              <w:rPr>
                <w:rFonts w:ascii="Times New Roman" w:hAnsi="Times New Roman" w:cs="Times New Roman"/>
              </w:rPr>
            </w:pPr>
            <w:r w:rsidRPr="000A61C1">
              <w:rPr>
                <w:rFonts w:ascii="Times New Roman" w:hAnsi="Times New Roman" w:cs="Times New Roman"/>
              </w:rPr>
              <w:t>Koji su rokovi re</w:t>
            </w:r>
            <w:r w:rsidR="00672757">
              <w:rPr>
                <w:rFonts w:ascii="Times New Roman" w:hAnsi="Times New Roman" w:cs="Times New Roman"/>
              </w:rPr>
              <w:t>a</w:t>
            </w:r>
            <w:r w:rsidRPr="000A61C1">
              <w:rPr>
                <w:rFonts w:ascii="Times New Roman" w:hAnsi="Times New Roman" w:cs="Times New Roman"/>
              </w:rPr>
              <w:t xml:space="preserve">lizacije za svaku pojedinu migraciju? </w:t>
            </w:r>
          </w:p>
          <w:p w:rsidR="000A61C1" w:rsidRPr="000A61C1" w:rsidRDefault="000A61C1" w:rsidP="000A61C1">
            <w:pPr>
              <w:rPr>
                <w:rFonts w:ascii="Times New Roman" w:hAnsi="Times New Roman" w:cs="Times New Roman"/>
              </w:rPr>
            </w:pPr>
            <w:r w:rsidRPr="000A61C1">
              <w:rPr>
                <w:rFonts w:ascii="Times New Roman" w:hAnsi="Times New Roman" w:cs="Times New Roman"/>
              </w:rPr>
              <w:t>Naručitelj raspolaže sa Cisco CUCM 9 IP PBX sustavom na lokaciji Avenija Marina Držića 4 sa 200 telefona. Da li je moguće ponuditi zamjenu tog sustava i potpunu integraciju i tih 200 telefona na novi dedicirani VOIP PBX sustav sa traženim funkcionalnostima?</w:t>
            </w:r>
            <w:r>
              <w:t xml:space="preserve"> </w:t>
            </w:r>
            <w:r w:rsidRPr="000A61C1">
              <w:rPr>
                <w:rFonts w:ascii="Times New Roman" w:hAnsi="Times New Roman" w:cs="Times New Roman"/>
              </w:rPr>
              <w:t xml:space="preserve">Skrećemo pozornost i na neusklađenost zahtjeva u dokumentaciji i troškovniku jer se navodi da dedicirani </w:t>
            </w:r>
            <w:proofErr w:type="spellStart"/>
            <w:r w:rsidRPr="000A61C1">
              <w:rPr>
                <w:rFonts w:ascii="Times New Roman" w:hAnsi="Times New Roman" w:cs="Times New Roman"/>
              </w:rPr>
              <w:t>VoIP</w:t>
            </w:r>
            <w:proofErr w:type="spellEnd"/>
            <w:r w:rsidRPr="000A61C1">
              <w:rPr>
                <w:rFonts w:ascii="Times New Roman" w:hAnsi="Times New Roman" w:cs="Times New Roman"/>
              </w:rPr>
              <w:t xml:space="preserve"> PBX sistem mora biti minimalnog kapaciteta do 3.000 IP telefona, a u troškovniku je navedeno do 5.000 IP telefona što naravno značajno mijenja cijenu. Navedeno je da Naručitelj trenutno posjeduje 200 Cisco IP telefona te da je potrebno isporučiti IP telefoni TIP 1,2,3,4 (1.540 kom) namijenjenih za dedicirani </w:t>
            </w:r>
            <w:proofErr w:type="spellStart"/>
            <w:r w:rsidRPr="000A61C1">
              <w:rPr>
                <w:rFonts w:ascii="Times New Roman" w:hAnsi="Times New Roman" w:cs="Times New Roman"/>
              </w:rPr>
              <w:t>VoIP</w:t>
            </w:r>
            <w:proofErr w:type="spellEnd"/>
            <w:r w:rsidRPr="000A61C1">
              <w:rPr>
                <w:rFonts w:ascii="Times New Roman" w:hAnsi="Times New Roman" w:cs="Times New Roman"/>
              </w:rPr>
              <w:t xml:space="preserve"> PBX sustav te nije jasno čemu će služiti preostale licence na dediciranom sustavu do ukupno 3000 ili 5000 kada se usklade potrebe odnosno da li je možda u planu i u kojem roku zapravo još veća migracija postojećih lokacija i usluga na dedicirani </w:t>
            </w:r>
            <w:proofErr w:type="spellStart"/>
            <w:r w:rsidRPr="000A61C1">
              <w:rPr>
                <w:rFonts w:ascii="Times New Roman" w:hAnsi="Times New Roman" w:cs="Times New Roman"/>
              </w:rPr>
              <w:t>VoIP</w:t>
            </w:r>
            <w:proofErr w:type="spellEnd"/>
            <w:r w:rsidRPr="000A61C1">
              <w:rPr>
                <w:rFonts w:ascii="Times New Roman" w:hAnsi="Times New Roman" w:cs="Times New Roman"/>
              </w:rPr>
              <w:t xml:space="preserve"> PBX sustav.</w:t>
            </w:r>
          </w:p>
          <w:p w:rsidR="000A61C1" w:rsidRPr="000A61C1" w:rsidRDefault="000A61C1" w:rsidP="000A61C1">
            <w:pPr>
              <w:rPr>
                <w:rFonts w:ascii="Times New Roman" w:hAnsi="Times New Roman" w:cs="Times New Roman"/>
              </w:rPr>
            </w:pPr>
            <w:r w:rsidRPr="000A61C1">
              <w:rPr>
                <w:rFonts w:ascii="Times New Roman" w:hAnsi="Times New Roman" w:cs="Times New Roman"/>
              </w:rPr>
              <w:t xml:space="preserve">Zbog svega navedenog molimo da se detaljnije raspišu zahtjevi i plan migracije na dedicirani VOIP PBX sustav, a sve kako bi svi potencijalni ponuditelji stekli </w:t>
            </w:r>
            <w:proofErr w:type="spellStart"/>
            <w:r w:rsidRPr="000A61C1">
              <w:rPr>
                <w:rFonts w:ascii="Times New Roman" w:hAnsi="Times New Roman" w:cs="Times New Roman"/>
              </w:rPr>
              <w:t>transparentniji</w:t>
            </w:r>
            <w:proofErr w:type="spellEnd"/>
            <w:r w:rsidRPr="000A61C1">
              <w:rPr>
                <w:rFonts w:ascii="Times New Roman" w:hAnsi="Times New Roman" w:cs="Times New Roman"/>
              </w:rPr>
              <w:t xml:space="preserve"> uvid u planirano stanje te kako bi mogli jasnije procijeniti troškove i iskazati konkurentne cijene u ponudi.</w:t>
            </w:r>
          </w:p>
          <w:p w:rsidR="000A61C1" w:rsidRPr="000A61C1" w:rsidRDefault="000A61C1" w:rsidP="000A61C1">
            <w:pPr>
              <w:rPr>
                <w:rFonts w:ascii="Times New Roman" w:hAnsi="Times New Roman" w:cs="Times New Roman"/>
              </w:rPr>
            </w:pPr>
          </w:p>
          <w:p w:rsidR="000A61C1" w:rsidRPr="000A61C1" w:rsidRDefault="000A61C1" w:rsidP="000A61C1">
            <w:pPr>
              <w:rPr>
                <w:rFonts w:ascii="Times New Roman" w:hAnsi="Times New Roman" w:cs="Times New Roman"/>
              </w:rPr>
            </w:pPr>
            <w:r w:rsidRPr="000A61C1">
              <w:rPr>
                <w:rFonts w:ascii="Times New Roman" w:hAnsi="Times New Roman" w:cs="Times New Roman"/>
              </w:rPr>
              <w:t>Na stranici 19. dokumentacije u specifikaciji dodatnih usluga traži se:</w:t>
            </w:r>
          </w:p>
          <w:p w:rsidR="000A61C1" w:rsidRPr="000A61C1" w:rsidRDefault="000A61C1" w:rsidP="000A61C1">
            <w:pPr>
              <w:rPr>
                <w:rFonts w:ascii="Times New Roman" w:hAnsi="Times New Roman" w:cs="Times New Roman"/>
              </w:rPr>
            </w:pPr>
          </w:p>
          <w:p w:rsidR="000A61C1" w:rsidRPr="000A61C1" w:rsidRDefault="000A61C1" w:rsidP="000A61C1">
            <w:pPr>
              <w:rPr>
                <w:rFonts w:ascii="Times New Roman" w:hAnsi="Times New Roman" w:cs="Times New Roman"/>
              </w:rPr>
            </w:pPr>
            <w:r w:rsidRPr="000A61C1">
              <w:rPr>
                <w:rFonts w:ascii="Times New Roman" w:hAnsi="Times New Roman" w:cs="Times New Roman"/>
              </w:rPr>
              <w:lastRenderedPageBreak/>
              <w:t xml:space="preserve"> Ponuditelj u pogledu dodatnih usluga mora omogućiti:</w:t>
            </w:r>
          </w:p>
          <w:p w:rsidR="000A61C1" w:rsidRPr="000A61C1" w:rsidRDefault="000A61C1" w:rsidP="000A61C1">
            <w:pPr>
              <w:rPr>
                <w:rFonts w:ascii="Times New Roman" w:hAnsi="Times New Roman" w:cs="Times New Roman"/>
              </w:rPr>
            </w:pPr>
          </w:p>
          <w:p w:rsidR="000A61C1" w:rsidRPr="000A61C1" w:rsidRDefault="000A61C1" w:rsidP="000A61C1">
            <w:pPr>
              <w:rPr>
                <w:rFonts w:ascii="Times New Roman" w:hAnsi="Times New Roman" w:cs="Times New Roman"/>
              </w:rPr>
            </w:pPr>
            <w:r w:rsidRPr="000A61C1">
              <w:rPr>
                <w:rFonts w:ascii="Times New Roman" w:hAnsi="Times New Roman" w:cs="Times New Roman"/>
              </w:rPr>
              <w:t>•</w:t>
            </w:r>
            <w:r w:rsidRPr="000A61C1">
              <w:rPr>
                <w:rFonts w:ascii="Times New Roman" w:hAnsi="Times New Roman" w:cs="Times New Roman"/>
              </w:rPr>
              <w:tab/>
              <w:t>Najam virtualnih poslužitelja bez operacijskog sustava</w:t>
            </w:r>
          </w:p>
          <w:p w:rsidR="000A61C1" w:rsidRPr="000A61C1" w:rsidRDefault="000A61C1" w:rsidP="000A61C1">
            <w:pPr>
              <w:rPr>
                <w:rFonts w:ascii="Times New Roman" w:hAnsi="Times New Roman" w:cs="Times New Roman"/>
              </w:rPr>
            </w:pPr>
            <w:r w:rsidRPr="000A61C1">
              <w:rPr>
                <w:rFonts w:ascii="Times New Roman" w:hAnsi="Times New Roman" w:cs="Times New Roman"/>
              </w:rPr>
              <w:t>•</w:t>
            </w:r>
            <w:r w:rsidRPr="000A61C1">
              <w:rPr>
                <w:rFonts w:ascii="Times New Roman" w:hAnsi="Times New Roman" w:cs="Times New Roman"/>
              </w:rPr>
              <w:tab/>
              <w:t>Povezivanje lokacije naručitelja do virtualnog poslužitelja putem IP VPN mreže sa privatnim IP adresama</w:t>
            </w:r>
          </w:p>
          <w:p w:rsidR="000A61C1" w:rsidRPr="000A61C1" w:rsidRDefault="000A61C1" w:rsidP="000A61C1">
            <w:pPr>
              <w:rPr>
                <w:rFonts w:ascii="Times New Roman" w:hAnsi="Times New Roman" w:cs="Times New Roman"/>
              </w:rPr>
            </w:pPr>
            <w:r w:rsidRPr="000A61C1">
              <w:rPr>
                <w:rFonts w:ascii="Times New Roman" w:hAnsi="Times New Roman" w:cs="Times New Roman"/>
              </w:rPr>
              <w:t>•</w:t>
            </w:r>
            <w:r w:rsidRPr="000A61C1">
              <w:rPr>
                <w:rFonts w:ascii="Times New Roman" w:hAnsi="Times New Roman" w:cs="Times New Roman"/>
              </w:rPr>
              <w:tab/>
              <w:t>Mogućnost instalacije operacijskog sustava (</w:t>
            </w:r>
            <w:proofErr w:type="spellStart"/>
            <w:r w:rsidRPr="000A61C1">
              <w:rPr>
                <w:rFonts w:ascii="Times New Roman" w:hAnsi="Times New Roman" w:cs="Times New Roman"/>
              </w:rPr>
              <w:t>Linux</w:t>
            </w:r>
            <w:proofErr w:type="spellEnd"/>
            <w:r w:rsidRPr="000A61C1">
              <w:rPr>
                <w:rFonts w:ascii="Times New Roman" w:hAnsi="Times New Roman" w:cs="Times New Roman"/>
              </w:rPr>
              <w:t xml:space="preserve"> ili Windows čija je licenca u vlasništvu naručitelja) </w:t>
            </w:r>
          </w:p>
          <w:p w:rsidR="000A61C1" w:rsidRPr="000A61C1" w:rsidRDefault="000A61C1" w:rsidP="000A61C1">
            <w:pPr>
              <w:rPr>
                <w:rFonts w:ascii="Times New Roman" w:hAnsi="Times New Roman" w:cs="Times New Roman"/>
              </w:rPr>
            </w:pPr>
            <w:r w:rsidRPr="000A61C1">
              <w:rPr>
                <w:rFonts w:ascii="Times New Roman" w:hAnsi="Times New Roman" w:cs="Times New Roman"/>
              </w:rPr>
              <w:t>•</w:t>
            </w:r>
            <w:r w:rsidRPr="000A61C1">
              <w:rPr>
                <w:rFonts w:ascii="Times New Roman" w:hAnsi="Times New Roman" w:cs="Times New Roman"/>
              </w:rPr>
              <w:tab/>
              <w:t xml:space="preserve">Licence za Windows ili </w:t>
            </w:r>
            <w:proofErr w:type="spellStart"/>
            <w:r w:rsidRPr="000A61C1">
              <w:rPr>
                <w:rFonts w:ascii="Times New Roman" w:hAnsi="Times New Roman" w:cs="Times New Roman"/>
              </w:rPr>
              <w:t>Linux</w:t>
            </w:r>
            <w:proofErr w:type="spellEnd"/>
            <w:r w:rsidRPr="000A61C1">
              <w:rPr>
                <w:rFonts w:ascii="Times New Roman" w:hAnsi="Times New Roman" w:cs="Times New Roman"/>
              </w:rPr>
              <w:t xml:space="preserve"> osigurava naručitelj</w:t>
            </w:r>
          </w:p>
          <w:p w:rsidR="000A61C1" w:rsidRPr="000A61C1" w:rsidRDefault="000A61C1" w:rsidP="000A61C1">
            <w:pPr>
              <w:rPr>
                <w:rFonts w:ascii="Times New Roman" w:hAnsi="Times New Roman" w:cs="Times New Roman"/>
              </w:rPr>
            </w:pPr>
          </w:p>
          <w:p w:rsidR="000A61C1" w:rsidRPr="000A61C1" w:rsidRDefault="000A61C1" w:rsidP="000A61C1">
            <w:pPr>
              <w:rPr>
                <w:rFonts w:ascii="Times New Roman" w:hAnsi="Times New Roman" w:cs="Times New Roman"/>
              </w:rPr>
            </w:pPr>
            <w:r w:rsidRPr="000A61C1">
              <w:rPr>
                <w:rFonts w:ascii="Times New Roman" w:hAnsi="Times New Roman" w:cs="Times New Roman"/>
              </w:rPr>
              <w:t xml:space="preserve">Ističemo da licence za OS (Windows) nije moguće koristiti na </w:t>
            </w:r>
            <w:proofErr w:type="spellStart"/>
            <w:r w:rsidRPr="000A61C1">
              <w:rPr>
                <w:rFonts w:ascii="Times New Roman" w:hAnsi="Times New Roman" w:cs="Times New Roman"/>
              </w:rPr>
              <w:t>data</w:t>
            </w:r>
            <w:proofErr w:type="spellEnd"/>
            <w:r w:rsidRPr="000A61C1">
              <w:rPr>
                <w:rFonts w:ascii="Times New Roman" w:hAnsi="Times New Roman" w:cs="Times New Roman"/>
              </w:rPr>
              <w:t xml:space="preserve"> centru osim ako ne postoji poseban dogovor sa Microsoftom pa je pitanje da li Naručitelj potvrđuje da ima isti? Moguće je koristiti sve ostale Microsoft licence (Exchange, </w:t>
            </w:r>
            <w:proofErr w:type="spellStart"/>
            <w:r w:rsidRPr="000A61C1">
              <w:rPr>
                <w:rFonts w:ascii="Times New Roman" w:hAnsi="Times New Roman" w:cs="Times New Roman"/>
              </w:rPr>
              <w:t>sharepoint</w:t>
            </w:r>
            <w:proofErr w:type="spellEnd"/>
            <w:r w:rsidRPr="000A61C1">
              <w:rPr>
                <w:rFonts w:ascii="Times New Roman" w:hAnsi="Times New Roman" w:cs="Times New Roman"/>
              </w:rPr>
              <w:t xml:space="preserve">, SQL I sl.), ali sam operativni sustav mora biti od vlasnika </w:t>
            </w:r>
            <w:proofErr w:type="spellStart"/>
            <w:r w:rsidRPr="000A61C1">
              <w:rPr>
                <w:rFonts w:ascii="Times New Roman" w:hAnsi="Times New Roman" w:cs="Times New Roman"/>
              </w:rPr>
              <w:t>data</w:t>
            </w:r>
            <w:proofErr w:type="spellEnd"/>
            <w:r w:rsidRPr="000A61C1">
              <w:rPr>
                <w:rFonts w:ascii="Times New Roman" w:hAnsi="Times New Roman" w:cs="Times New Roman"/>
              </w:rPr>
              <w:t xml:space="preserve"> centra stoga vas molimo pojašnjenje/potvrdu ili usklađenje dokumentacije.</w:t>
            </w:r>
          </w:p>
          <w:p w:rsidR="000A61C1" w:rsidRPr="000A61C1" w:rsidRDefault="000A61C1" w:rsidP="000A61C1">
            <w:pPr>
              <w:rPr>
                <w:rFonts w:ascii="Times New Roman" w:hAnsi="Times New Roman" w:cs="Times New Roman"/>
              </w:rPr>
            </w:pPr>
          </w:p>
          <w:p w:rsidR="000A61C1" w:rsidRPr="000A61C1" w:rsidRDefault="00672757" w:rsidP="000A61C1">
            <w:pPr>
              <w:rPr>
                <w:rFonts w:ascii="Times New Roman" w:hAnsi="Times New Roman" w:cs="Times New Roman"/>
              </w:rPr>
            </w:pPr>
            <w:r>
              <w:rPr>
                <w:rFonts w:ascii="Times New Roman" w:hAnsi="Times New Roman" w:cs="Times New Roman"/>
              </w:rPr>
              <w:t>Skrećem</w:t>
            </w:r>
            <w:r w:rsidR="000A61C1" w:rsidRPr="000A61C1">
              <w:rPr>
                <w:rFonts w:ascii="Times New Roman" w:hAnsi="Times New Roman" w:cs="Times New Roman"/>
              </w:rPr>
              <w:t>o pozornost Naručitelju da se u troškovniku navode okvirne količine usluga 0, pa je potrebno definirati količinu ili izbrisati navedene stavke iz troškovnika:</w:t>
            </w:r>
          </w:p>
          <w:p w:rsidR="000A61C1" w:rsidRPr="000A61C1" w:rsidRDefault="000A61C1" w:rsidP="000A61C1">
            <w:pPr>
              <w:rPr>
                <w:rFonts w:ascii="Times New Roman" w:hAnsi="Times New Roman" w:cs="Times New Roman"/>
              </w:rPr>
            </w:pPr>
            <w:r w:rsidRPr="000A61C1">
              <w:rPr>
                <w:rFonts w:ascii="Times New Roman" w:hAnsi="Times New Roman" w:cs="Times New Roman"/>
              </w:rPr>
              <w:t xml:space="preserve">  - podatkovno povezivanje brzine 10/10Mbit/s– </w:t>
            </w:r>
            <w:proofErr w:type="spellStart"/>
            <w:r w:rsidRPr="000A61C1">
              <w:rPr>
                <w:rFonts w:ascii="Times New Roman" w:hAnsi="Times New Roman" w:cs="Times New Roman"/>
              </w:rPr>
              <w:t>Layer</w:t>
            </w:r>
            <w:proofErr w:type="spellEnd"/>
            <w:r w:rsidRPr="000A61C1">
              <w:rPr>
                <w:rFonts w:ascii="Times New Roman" w:hAnsi="Times New Roman" w:cs="Times New Roman"/>
              </w:rPr>
              <w:t xml:space="preserve"> 3</w:t>
            </w:r>
          </w:p>
          <w:p w:rsidR="00385A93" w:rsidRDefault="000A61C1" w:rsidP="000A61C1">
            <w:pPr>
              <w:rPr>
                <w:rFonts w:ascii="Times New Roman" w:hAnsi="Times New Roman" w:cs="Times New Roman"/>
              </w:rPr>
            </w:pPr>
            <w:r w:rsidRPr="000A61C1">
              <w:rPr>
                <w:rFonts w:ascii="Times New Roman" w:hAnsi="Times New Roman" w:cs="Times New Roman"/>
              </w:rPr>
              <w:t xml:space="preserve">  </w:t>
            </w:r>
          </w:p>
          <w:p w:rsidR="000A61C1" w:rsidRPr="000A61C1" w:rsidRDefault="000A61C1" w:rsidP="000A61C1">
            <w:pPr>
              <w:rPr>
                <w:rFonts w:ascii="Times New Roman" w:hAnsi="Times New Roman" w:cs="Times New Roman"/>
              </w:rPr>
            </w:pPr>
            <w:r w:rsidRPr="000A61C1">
              <w:rPr>
                <w:rFonts w:ascii="Times New Roman" w:hAnsi="Times New Roman" w:cs="Times New Roman"/>
              </w:rPr>
              <w:t xml:space="preserve">- podatkovno povezivanje brzine 4/4Mbit/s– </w:t>
            </w:r>
            <w:proofErr w:type="spellStart"/>
            <w:r w:rsidRPr="000A61C1">
              <w:rPr>
                <w:rFonts w:ascii="Times New Roman" w:hAnsi="Times New Roman" w:cs="Times New Roman"/>
              </w:rPr>
              <w:t>Layer</w:t>
            </w:r>
            <w:proofErr w:type="spellEnd"/>
            <w:r w:rsidRPr="000A61C1">
              <w:rPr>
                <w:rFonts w:ascii="Times New Roman" w:hAnsi="Times New Roman" w:cs="Times New Roman"/>
              </w:rPr>
              <w:t xml:space="preserve"> 2</w:t>
            </w:r>
          </w:p>
        </w:tc>
        <w:tc>
          <w:tcPr>
            <w:tcW w:w="4077" w:type="dxa"/>
          </w:tcPr>
          <w:p w:rsidR="00F9374D" w:rsidRDefault="00F9374D" w:rsidP="00F9374D">
            <w:pPr>
              <w:rPr>
                <w:rFonts w:ascii="Times New Roman" w:hAnsi="Times New Roman" w:cs="Times New Roman"/>
              </w:rPr>
            </w:pPr>
            <w:r>
              <w:rPr>
                <w:rFonts w:ascii="Times New Roman" w:hAnsi="Times New Roman" w:cs="Times New Roman"/>
              </w:rPr>
              <w:lastRenderedPageBreak/>
              <w:t>4.</w:t>
            </w:r>
            <w:r w:rsidR="004A1411">
              <w:rPr>
                <w:rFonts w:ascii="Times New Roman" w:hAnsi="Times New Roman" w:cs="Times New Roman"/>
              </w:rPr>
              <w:t>Pojašnjenje:</w:t>
            </w:r>
          </w:p>
          <w:p w:rsidR="00F55995" w:rsidRDefault="00D66D61" w:rsidP="00F9374D">
            <w:pPr>
              <w:rPr>
                <w:rFonts w:ascii="Times New Roman" w:hAnsi="Times New Roman" w:cs="Times New Roman"/>
              </w:rPr>
            </w:pPr>
            <w:r>
              <w:rPr>
                <w:rFonts w:ascii="Times New Roman" w:hAnsi="Times New Roman" w:cs="Times New Roman"/>
              </w:rPr>
              <w:t xml:space="preserve">Središnje tijelo za javnu nabavu </w:t>
            </w:r>
            <w:r w:rsidR="00F55995">
              <w:rPr>
                <w:rFonts w:ascii="Times New Roman" w:hAnsi="Times New Roman" w:cs="Times New Roman"/>
              </w:rPr>
              <w:t>smatra da su postupak kontrole ponuđenih usluga u postupku odabira i rok realizacije bitni kriteriji za dokazivanje sposobnosti potencijalnih ponuditelja.</w:t>
            </w:r>
          </w:p>
          <w:p w:rsidR="00F55995" w:rsidRDefault="00F55995" w:rsidP="00F9374D">
            <w:pPr>
              <w:rPr>
                <w:rFonts w:ascii="Times New Roman" w:hAnsi="Times New Roman" w:cs="Times New Roman"/>
              </w:rPr>
            </w:pPr>
          </w:p>
          <w:p w:rsidR="000A61C1" w:rsidRDefault="00E14A5C" w:rsidP="00F9374D">
            <w:pPr>
              <w:rPr>
                <w:rFonts w:ascii="Times New Roman" w:hAnsi="Times New Roman" w:cs="Times New Roman"/>
              </w:rPr>
            </w:pPr>
            <w:r>
              <w:rPr>
                <w:rFonts w:ascii="Times New Roman" w:hAnsi="Times New Roman" w:cs="Times New Roman"/>
              </w:rPr>
              <w:t xml:space="preserve">Središnje tijelo za javnu nabavu </w:t>
            </w:r>
            <w:r w:rsidR="00550BD9">
              <w:rPr>
                <w:rFonts w:ascii="Times New Roman" w:hAnsi="Times New Roman" w:cs="Times New Roman"/>
              </w:rPr>
              <w:t xml:space="preserve">zadržava </w:t>
            </w:r>
            <w:r w:rsidR="00F9374D">
              <w:rPr>
                <w:rFonts w:ascii="Times New Roman" w:hAnsi="Times New Roman" w:cs="Times New Roman"/>
              </w:rPr>
              <w:t>mogućnost</w:t>
            </w:r>
            <w:r w:rsidR="00550BD9">
              <w:rPr>
                <w:rFonts w:ascii="Times New Roman" w:hAnsi="Times New Roman" w:cs="Times New Roman"/>
              </w:rPr>
              <w:t xml:space="preserve"> provođenja postupka kontrole ponuđenih usluga navedenih u </w:t>
            </w:r>
            <w:r w:rsidR="00550BD9">
              <w:rPr>
                <w:rFonts w:ascii="Times New Roman" w:hAnsi="Times New Roman" w:cs="Times New Roman"/>
              </w:rPr>
              <w:lastRenderedPageBreak/>
              <w:t xml:space="preserve">Troškovniku </w:t>
            </w:r>
            <w:r w:rsidR="00F9374D">
              <w:rPr>
                <w:rFonts w:ascii="Times New Roman" w:hAnsi="Times New Roman" w:cs="Times New Roman"/>
              </w:rPr>
              <w:t>da bi se uvjerio u mogućnost, kvalitetu i pokrivenost traženih usluga od strane zainteresiranog Ponuditelja.</w:t>
            </w:r>
            <w:r w:rsidR="00C154F8">
              <w:rPr>
                <w:rFonts w:ascii="Times New Roman" w:hAnsi="Times New Roman" w:cs="Times New Roman"/>
              </w:rPr>
              <w:t xml:space="preserve"> Rok za odabir Ponuditelja je 90 dana nakon otvaranja ponuda što je po mišljenju </w:t>
            </w:r>
            <w:r w:rsidR="00EC38BE">
              <w:rPr>
                <w:rFonts w:ascii="Times New Roman" w:hAnsi="Times New Roman" w:cs="Times New Roman"/>
              </w:rPr>
              <w:t xml:space="preserve">Središnjeg tijela za javnu nabavu </w:t>
            </w:r>
            <w:r w:rsidR="00C154F8">
              <w:rPr>
                <w:rFonts w:ascii="Times New Roman" w:hAnsi="Times New Roman" w:cs="Times New Roman"/>
              </w:rPr>
              <w:t xml:space="preserve">dovoljno vrijeme za realizaciju pilot priključaka za kontrolu usluga. Kontrola usluga izvoditi će se na lokacijama </w:t>
            </w:r>
            <w:r w:rsidR="00173550">
              <w:rPr>
                <w:rFonts w:ascii="Times New Roman" w:hAnsi="Times New Roman" w:cs="Times New Roman"/>
              </w:rPr>
              <w:t xml:space="preserve">navedenim u Prilogu 2 </w:t>
            </w:r>
            <w:r w:rsidR="00C154F8">
              <w:rPr>
                <w:rFonts w:ascii="Times New Roman" w:hAnsi="Times New Roman" w:cs="Times New Roman"/>
              </w:rPr>
              <w:t xml:space="preserve">koje su spojene </w:t>
            </w:r>
            <w:r w:rsidR="00173550">
              <w:rPr>
                <w:rFonts w:ascii="Times New Roman" w:hAnsi="Times New Roman" w:cs="Times New Roman"/>
              </w:rPr>
              <w:t>bakrenim žičanim kabelom s javnom nepokretnom mrežom te imaju nesmetan pristup sa</w:t>
            </w:r>
            <w:r w:rsidR="00C154F8">
              <w:rPr>
                <w:rFonts w:ascii="Times New Roman" w:hAnsi="Times New Roman" w:cs="Times New Roman"/>
              </w:rPr>
              <w:t xml:space="preserve"> DTK.</w:t>
            </w:r>
          </w:p>
          <w:p w:rsidR="00F55995" w:rsidRDefault="00F55995" w:rsidP="00F9374D">
            <w:pPr>
              <w:rPr>
                <w:rFonts w:ascii="Times New Roman" w:hAnsi="Times New Roman" w:cs="Times New Roman"/>
              </w:rPr>
            </w:pPr>
          </w:p>
          <w:p w:rsidR="00F55995" w:rsidRDefault="00F55995"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E10B89" w:rsidRPr="00E10B89" w:rsidRDefault="00C84F8E" w:rsidP="00E10B89">
            <w:pPr>
              <w:rPr>
                <w:rFonts w:ascii="Times New Roman" w:hAnsi="Times New Roman" w:cs="Times New Roman"/>
                <w:b/>
                <w:bCs/>
              </w:rPr>
            </w:pPr>
            <w:r w:rsidRPr="00C84F8E">
              <w:rPr>
                <w:rFonts w:ascii="Times New Roman" w:hAnsi="Times New Roman" w:cs="Times New Roman"/>
              </w:rPr>
              <w:t xml:space="preserve">Naručitelj djelomično prihvaća prijedlog gospodarskog subjekta te će se u dokumentaciji </w:t>
            </w:r>
            <w:r w:rsidR="00AB386E">
              <w:rPr>
                <w:rFonts w:ascii="Times New Roman" w:hAnsi="Times New Roman" w:cs="Times New Roman"/>
              </w:rPr>
              <w:t xml:space="preserve">o nabavi  </w:t>
            </w:r>
            <w:r w:rsidR="001A42FF">
              <w:rPr>
                <w:rFonts w:ascii="Times New Roman" w:hAnsi="Times New Roman" w:cs="Times New Roman"/>
              </w:rPr>
              <w:t xml:space="preserve">točka </w:t>
            </w:r>
            <w:r w:rsidR="00E10B89" w:rsidRPr="00E10B89">
              <w:rPr>
                <w:rFonts w:ascii="Times New Roman" w:hAnsi="Times New Roman" w:cs="Times New Roman"/>
                <w:b/>
                <w:bCs/>
              </w:rPr>
              <w:t>27. Kriterij za odabir ponude</w:t>
            </w:r>
            <w:r w:rsidR="00E10B89">
              <w:rPr>
                <w:rFonts w:ascii="Times New Roman" w:hAnsi="Times New Roman" w:cs="Times New Roman"/>
                <w:b/>
                <w:bCs/>
              </w:rPr>
              <w:t>;</w:t>
            </w:r>
            <w:r w:rsidR="00E10B89">
              <w:t xml:space="preserve"> </w:t>
            </w:r>
            <w:r w:rsidR="00E10B89" w:rsidRPr="00E10B89">
              <w:rPr>
                <w:rFonts w:ascii="Times New Roman" w:hAnsi="Times New Roman" w:cs="Times New Roman"/>
                <w:b/>
                <w:bCs/>
              </w:rPr>
              <w:t xml:space="preserve">2. Rok izvršenja predmetne usluge (R)  </w:t>
            </w:r>
          </w:p>
          <w:p w:rsidR="00817A27" w:rsidRDefault="00C84F8E" w:rsidP="00F9374D">
            <w:pPr>
              <w:rPr>
                <w:rFonts w:ascii="Times New Roman" w:hAnsi="Times New Roman" w:cs="Times New Roman"/>
              </w:rPr>
            </w:pPr>
            <w:r w:rsidRPr="00C84F8E">
              <w:rPr>
                <w:rFonts w:ascii="Times New Roman" w:hAnsi="Times New Roman" w:cs="Times New Roman"/>
              </w:rPr>
              <w:t>produžiti rok za realizaciju usluga s 45</w:t>
            </w:r>
            <w:r w:rsidR="00466BE3">
              <w:rPr>
                <w:rFonts w:ascii="Times New Roman" w:hAnsi="Times New Roman" w:cs="Times New Roman"/>
              </w:rPr>
              <w:t>(</w:t>
            </w:r>
            <w:proofErr w:type="spellStart"/>
            <w:r w:rsidR="00466BE3">
              <w:rPr>
                <w:rFonts w:ascii="Times New Roman" w:hAnsi="Times New Roman" w:cs="Times New Roman"/>
              </w:rPr>
              <w:t>četrdesetpet</w:t>
            </w:r>
            <w:proofErr w:type="spellEnd"/>
            <w:r w:rsidR="00466BE3">
              <w:rPr>
                <w:rFonts w:ascii="Times New Roman" w:hAnsi="Times New Roman" w:cs="Times New Roman"/>
              </w:rPr>
              <w:t>)</w:t>
            </w:r>
            <w:r w:rsidRPr="00C84F8E">
              <w:rPr>
                <w:rFonts w:ascii="Times New Roman" w:hAnsi="Times New Roman" w:cs="Times New Roman"/>
              </w:rPr>
              <w:t xml:space="preserve"> na 60 </w:t>
            </w:r>
            <w:r w:rsidR="00466BE3">
              <w:rPr>
                <w:rFonts w:ascii="Times New Roman" w:hAnsi="Times New Roman" w:cs="Times New Roman"/>
              </w:rPr>
              <w:t xml:space="preserve">(šezdeset) </w:t>
            </w:r>
            <w:r w:rsidRPr="00C84F8E">
              <w:rPr>
                <w:rFonts w:ascii="Times New Roman" w:hAnsi="Times New Roman" w:cs="Times New Roman"/>
              </w:rPr>
              <w:t>dana.</w:t>
            </w:r>
          </w:p>
          <w:p w:rsidR="00385A93" w:rsidRDefault="00385A93" w:rsidP="00F9374D">
            <w:pPr>
              <w:rPr>
                <w:rFonts w:ascii="Times New Roman" w:hAnsi="Times New Roman" w:cs="Times New Roman"/>
              </w:rPr>
            </w:pPr>
          </w:p>
          <w:p w:rsidR="00466BE3" w:rsidRDefault="00466BE3" w:rsidP="009A1E62">
            <w:pPr>
              <w:rPr>
                <w:rFonts w:ascii="Times New Roman" w:hAnsi="Times New Roman" w:cs="Times New Roman"/>
              </w:rPr>
            </w:pPr>
          </w:p>
          <w:p w:rsidR="009A1E62" w:rsidRPr="009A1E62" w:rsidRDefault="00173550" w:rsidP="009A1E62">
            <w:pPr>
              <w:rPr>
                <w:rFonts w:ascii="Times New Roman" w:hAnsi="Times New Roman" w:cs="Times New Roman"/>
              </w:rPr>
            </w:pPr>
            <w:r w:rsidRPr="005C517A">
              <w:rPr>
                <w:rFonts w:ascii="Times New Roman" w:hAnsi="Times New Roman" w:cs="Times New Roman"/>
              </w:rPr>
              <w:t xml:space="preserve">Plan Naručitelja je </w:t>
            </w:r>
            <w:r w:rsidR="009A1E62" w:rsidRPr="005C517A">
              <w:rPr>
                <w:rFonts w:ascii="Times New Roman" w:hAnsi="Times New Roman" w:cs="Times New Roman"/>
              </w:rPr>
              <w:t xml:space="preserve"> migracija analognih kapaciteta na IP govornu platformu </w:t>
            </w:r>
            <w:r w:rsidRPr="005C517A">
              <w:rPr>
                <w:rFonts w:ascii="Times New Roman" w:hAnsi="Times New Roman" w:cs="Times New Roman"/>
              </w:rPr>
              <w:t xml:space="preserve">koja </w:t>
            </w:r>
            <w:r w:rsidR="009A1E62" w:rsidRPr="005C517A">
              <w:rPr>
                <w:rFonts w:ascii="Times New Roman" w:hAnsi="Times New Roman" w:cs="Times New Roman"/>
              </w:rPr>
              <w:t xml:space="preserve">ima za uvjet prije svega </w:t>
            </w:r>
            <w:proofErr w:type="spellStart"/>
            <w:r w:rsidR="009A1E62" w:rsidRPr="005C517A">
              <w:rPr>
                <w:rFonts w:ascii="Times New Roman" w:hAnsi="Times New Roman" w:cs="Times New Roman"/>
              </w:rPr>
              <w:t>implemetaciju</w:t>
            </w:r>
            <w:proofErr w:type="spellEnd"/>
            <w:r w:rsidR="009A1E62" w:rsidRPr="005C517A">
              <w:rPr>
                <w:rFonts w:ascii="Times New Roman" w:hAnsi="Times New Roman" w:cs="Times New Roman"/>
              </w:rPr>
              <w:t xml:space="preserve"> sustava strukturnog kabliranja, dobavu aktivne mrežne opreme i sl. Sve su tu predmeti natječaja i odobravanja sredstava za izvođenje istih kao dio cjelokupne </w:t>
            </w:r>
            <w:r w:rsidR="009A1E62" w:rsidRPr="005C517A">
              <w:rPr>
                <w:rFonts w:ascii="Times New Roman" w:hAnsi="Times New Roman" w:cs="Times New Roman"/>
              </w:rPr>
              <w:lastRenderedPageBreak/>
              <w:t>strategije ZGH grupe i samo činjenicom da se isti ugovaraju putem javne nabave ne može garantirati neke točne termine.</w:t>
            </w:r>
          </w:p>
          <w:p w:rsidR="00385A93" w:rsidRDefault="00385A93" w:rsidP="00F9374D">
            <w:pPr>
              <w:rPr>
                <w:rFonts w:ascii="Times New Roman" w:hAnsi="Times New Roman" w:cs="Times New Roman"/>
              </w:rPr>
            </w:pPr>
          </w:p>
          <w:p w:rsidR="00E76437" w:rsidRDefault="00E76437" w:rsidP="009A1E62">
            <w:pPr>
              <w:rPr>
                <w:rFonts w:ascii="Times New Roman" w:hAnsi="Times New Roman" w:cs="Times New Roman"/>
                <w:highlight w:val="yellow"/>
              </w:rPr>
            </w:pPr>
          </w:p>
          <w:p w:rsidR="00E76437" w:rsidRDefault="00E76437" w:rsidP="009A1E62">
            <w:pPr>
              <w:rPr>
                <w:rFonts w:ascii="Times New Roman" w:hAnsi="Times New Roman" w:cs="Times New Roman"/>
                <w:highlight w:val="yellow"/>
              </w:rPr>
            </w:pPr>
          </w:p>
          <w:p w:rsidR="005A0673" w:rsidRPr="005C517A" w:rsidRDefault="005A0673" w:rsidP="005A0673">
            <w:pPr>
              <w:rPr>
                <w:rFonts w:ascii="Times New Roman" w:hAnsi="Times New Roman" w:cs="Times New Roman"/>
              </w:rPr>
            </w:pPr>
            <w:r w:rsidRPr="005C517A">
              <w:rPr>
                <w:rFonts w:ascii="Times New Roman" w:hAnsi="Times New Roman" w:cs="Times New Roman"/>
              </w:rPr>
              <w:t>Usluge i oprema isporučivati će se na osnovu zahtjeva  Naručitelja u skladu s njegovim potrebama u roku koji je naveden u ponudi.</w:t>
            </w:r>
          </w:p>
          <w:p w:rsidR="009A1E62" w:rsidRPr="005C517A" w:rsidRDefault="009A1E62" w:rsidP="009A1E62">
            <w:pPr>
              <w:rPr>
                <w:rFonts w:ascii="Times New Roman" w:hAnsi="Times New Roman" w:cs="Times New Roman"/>
              </w:rPr>
            </w:pPr>
            <w:r w:rsidRPr="005C517A">
              <w:rPr>
                <w:rFonts w:ascii="Times New Roman" w:hAnsi="Times New Roman" w:cs="Times New Roman"/>
              </w:rPr>
              <w:t>Implementacija IP sustava je kontinuirani proces i isti bi se naplaćivao sukladno pojedinačnim ovjerenim zapisnicima o izvršenim uslugama.</w:t>
            </w:r>
          </w:p>
          <w:p w:rsidR="00385A93" w:rsidRPr="005C517A" w:rsidRDefault="00385A93" w:rsidP="00F9374D">
            <w:pPr>
              <w:rPr>
                <w:rFonts w:ascii="Times New Roman" w:hAnsi="Times New Roman" w:cs="Times New Roman"/>
              </w:rPr>
            </w:pPr>
          </w:p>
          <w:p w:rsidR="00257BE9" w:rsidRPr="005C517A" w:rsidRDefault="00C84F8E" w:rsidP="009A1E62">
            <w:pPr>
              <w:rPr>
                <w:rFonts w:ascii="Times New Roman" w:hAnsi="Times New Roman" w:cs="Times New Roman"/>
              </w:rPr>
            </w:pPr>
            <w:r w:rsidRPr="005C517A">
              <w:rPr>
                <w:rFonts w:ascii="Times New Roman" w:hAnsi="Times New Roman" w:cs="Times New Roman"/>
              </w:rPr>
              <w:t xml:space="preserve"> </w:t>
            </w:r>
            <w:r w:rsidR="00257BE9" w:rsidRPr="005C517A">
              <w:rPr>
                <w:rFonts w:ascii="Times New Roman" w:hAnsi="Times New Roman" w:cs="Times New Roman"/>
              </w:rPr>
              <w:t xml:space="preserve">Migracija lokacija koje trenutno nisu povezane s IP sustavom ZGH ovisi o proširenju strukturne mreže koja nije predmet ovog natječaja. </w:t>
            </w:r>
          </w:p>
          <w:p w:rsidR="00257BE9" w:rsidRPr="005C517A" w:rsidRDefault="00257BE9" w:rsidP="009A1E62">
            <w:pPr>
              <w:rPr>
                <w:rFonts w:ascii="Times New Roman" w:hAnsi="Times New Roman" w:cs="Times New Roman"/>
              </w:rPr>
            </w:pPr>
          </w:p>
          <w:p w:rsidR="009A1E62" w:rsidRPr="009A1E62" w:rsidRDefault="009A1E62" w:rsidP="009A1E62">
            <w:pPr>
              <w:rPr>
                <w:rFonts w:ascii="Times New Roman" w:hAnsi="Times New Roman" w:cs="Times New Roman"/>
              </w:rPr>
            </w:pPr>
            <w:r w:rsidRPr="005C517A">
              <w:rPr>
                <w:rFonts w:ascii="Times New Roman" w:hAnsi="Times New Roman" w:cs="Times New Roman"/>
              </w:rPr>
              <w:t xml:space="preserve">Naručitelj izvodi kontinuiranu nadogradnju </w:t>
            </w:r>
            <w:r w:rsidR="009C4202" w:rsidRPr="005C517A">
              <w:rPr>
                <w:rFonts w:ascii="Times New Roman" w:hAnsi="Times New Roman" w:cs="Times New Roman"/>
              </w:rPr>
              <w:t xml:space="preserve">vlastitog </w:t>
            </w:r>
            <w:r w:rsidRPr="005C517A">
              <w:rPr>
                <w:rFonts w:ascii="Times New Roman" w:hAnsi="Times New Roman" w:cs="Times New Roman"/>
              </w:rPr>
              <w:t>postojećeg IP PBX sustava i povećanje kapaciteta i funkcionalnosti. Specifikacija istog je napomenuta jer se traži kompatibilnost sa sustavom Ponuditelja. Cilj naručitelja je da u konačnici korist</w:t>
            </w:r>
            <w:r w:rsidR="00F72DF5" w:rsidRPr="005C517A">
              <w:rPr>
                <w:rFonts w:ascii="Times New Roman" w:hAnsi="Times New Roman" w:cs="Times New Roman"/>
              </w:rPr>
              <w:t xml:space="preserve">i jedinstvenu govornu platformu ta da svi korisnici navedeni u PRILOGU 3.- Popis lokacija i kapaciteta ZGH spoje na jedinstveni IP PBX sustav  kapaciteta </w:t>
            </w:r>
            <w:r w:rsidR="00F72DF5" w:rsidRPr="00715C0C">
              <w:rPr>
                <w:rFonts w:ascii="Times New Roman" w:hAnsi="Times New Roman" w:cs="Times New Roman"/>
              </w:rPr>
              <w:t>od 3.000 IP korisnika.</w:t>
            </w:r>
          </w:p>
          <w:p w:rsidR="00AB7C5F" w:rsidRDefault="00AB7C5F" w:rsidP="00F9374D">
            <w:pPr>
              <w:rPr>
                <w:rFonts w:ascii="Times New Roman" w:hAnsi="Times New Roman" w:cs="Times New Roman"/>
              </w:rPr>
            </w:pPr>
          </w:p>
          <w:p w:rsidR="00466BE3" w:rsidRDefault="00466BE3" w:rsidP="00F9374D">
            <w:pPr>
              <w:rPr>
                <w:rFonts w:ascii="Times New Roman" w:hAnsi="Times New Roman" w:cs="Times New Roman"/>
              </w:rPr>
            </w:pPr>
          </w:p>
          <w:p w:rsidR="00466BE3" w:rsidRDefault="00466BE3" w:rsidP="00F9374D">
            <w:pPr>
              <w:rPr>
                <w:rFonts w:ascii="Times New Roman" w:hAnsi="Times New Roman" w:cs="Times New Roman"/>
              </w:rPr>
            </w:pPr>
          </w:p>
          <w:p w:rsidR="00466BE3" w:rsidRDefault="00466BE3" w:rsidP="00F9374D">
            <w:pPr>
              <w:rPr>
                <w:rFonts w:ascii="Times New Roman" w:hAnsi="Times New Roman" w:cs="Times New Roman"/>
              </w:rPr>
            </w:pPr>
          </w:p>
          <w:p w:rsidR="00466BE3" w:rsidRDefault="00466BE3" w:rsidP="00F9374D">
            <w:pPr>
              <w:rPr>
                <w:rFonts w:ascii="Times New Roman" w:hAnsi="Times New Roman" w:cs="Times New Roman"/>
              </w:rPr>
            </w:pPr>
          </w:p>
          <w:p w:rsidR="00466BE3" w:rsidRDefault="00466BE3" w:rsidP="00F9374D">
            <w:pPr>
              <w:rPr>
                <w:rFonts w:ascii="Times New Roman" w:hAnsi="Times New Roman" w:cs="Times New Roman"/>
              </w:rPr>
            </w:pPr>
          </w:p>
          <w:p w:rsidR="00385A93" w:rsidRDefault="004A1411" w:rsidP="00F9374D">
            <w:pPr>
              <w:rPr>
                <w:rFonts w:ascii="Times New Roman" w:hAnsi="Times New Roman" w:cs="Times New Roman"/>
              </w:rPr>
            </w:pPr>
            <w:r>
              <w:rPr>
                <w:rFonts w:ascii="Times New Roman" w:hAnsi="Times New Roman" w:cs="Times New Roman"/>
              </w:rPr>
              <w:t xml:space="preserve">Središnje tijelo za javnu nabavu </w:t>
            </w:r>
            <w:r w:rsidR="00534611">
              <w:rPr>
                <w:rFonts w:ascii="Times New Roman" w:hAnsi="Times New Roman" w:cs="Times New Roman"/>
              </w:rPr>
              <w:t xml:space="preserve"> je prihvatilo primjedbu gospodarskog subjekta te je  u Troškovniku promijenilo</w:t>
            </w:r>
            <w:r w:rsidR="00AB7C5F">
              <w:rPr>
                <w:rFonts w:ascii="Times New Roman" w:hAnsi="Times New Roman" w:cs="Times New Roman"/>
              </w:rPr>
              <w:t xml:space="preserve"> kapacitet </w:t>
            </w:r>
            <w:r w:rsidR="005C763B">
              <w:rPr>
                <w:rFonts w:ascii="Times New Roman" w:hAnsi="Times New Roman" w:cs="Times New Roman"/>
              </w:rPr>
              <w:t xml:space="preserve">dediciranog </w:t>
            </w:r>
            <w:proofErr w:type="spellStart"/>
            <w:r w:rsidR="005C763B">
              <w:rPr>
                <w:rFonts w:ascii="Times New Roman" w:hAnsi="Times New Roman" w:cs="Times New Roman"/>
              </w:rPr>
              <w:t>VoIP</w:t>
            </w:r>
            <w:proofErr w:type="spellEnd"/>
            <w:r w:rsidR="005C763B">
              <w:rPr>
                <w:rFonts w:ascii="Times New Roman" w:hAnsi="Times New Roman" w:cs="Times New Roman"/>
              </w:rPr>
              <w:t xml:space="preserve"> PBX sustava </w:t>
            </w:r>
            <w:r w:rsidR="00AB7C5F">
              <w:rPr>
                <w:rFonts w:ascii="Times New Roman" w:hAnsi="Times New Roman" w:cs="Times New Roman"/>
              </w:rPr>
              <w:t>s 5.000 u 3.000 korisnika</w:t>
            </w: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6251F1" w:rsidP="00F9374D">
            <w:pPr>
              <w:rPr>
                <w:rFonts w:ascii="Times New Roman" w:hAnsi="Times New Roman" w:cs="Times New Roman"/>
              </w:rPr>
            </w:pPr>
            <w:r>
              <w:rPr>
                <w:rFonts w:ascii="Times New Roman" w:hAnsi="Times New Roman" w:cs="Times New Roman"/>
              </w:rPr>
              <w:t>Na osnovu M</w:t>
            </w:r>
            <w:r w:rsidRPr="006251F1">
              <w:rPr>
                <w:rFonts w:ascii="Times New Roman" w:hAnsi="Times New Roman" w:cs="Times New Roman"/>
              </w:rPr>
              <w:t xml:space="preserve">icrosoft </w:t>
            </w:r>
            <w:r>
              <w:rPr>
                <w:rFonts w:ascii="Times New Roman" w:hAnsi="Times New Roman" w:cs="Times New Roman"/>
              </w:rPr>
              <w:t xml:space="preserve">Enterprise </w:t>
            </w:r>
            <w:proofErr w:type="spellStart"/>
            <w:r>
              <w:rPr>
                <w:rFonts w:ascii="Times New Roman" w:hAnsi="Times New Roman" w:cs="Times New Roman"/>
              </w:rPr>
              <w:t>A</w:t>
            </w:r>
            <w:r w:rsidRPr="006251F1">
              <w:rPr>
                <w:rFonts w:ascii="Times New Roman" w:hAnsi="Times New Roman" w:cs="Times New Roman"/>
              </w:rPr>
              <w:t>greement</w:t>
            </w:r>
            <w:proofErr w:type="spellEnd"/>
            <w:r>
              <w:rPr>
                <w:rFonts w:ascii="Times New Roman" w:hAnsi="Times New Roman" w:cs="Times New Roman"/>
              </w:rPr>
              <w:t xml:space="preserve">-a </w:t>
            </w:r>
            <w:r w:rsidR="002822AE">
              <w:rPr>
                <w:rFonts w:ascii="Times New Roman" w:hAnsi="Times New Roman" w:cs="Times New Roman"/>
              </w:rPr>
              <w:t xml:space="preserve"> </w:t>
            </w:r>
            <w:r>
              <w:rPr>
                <w:rFonts w:ascii="Times New Roman" w:hAnsi="Times New Roman" w:cs="Times New Roman"/>
              </w:rPr>
              <w:t xml:space="preserve">Naručitelju je </w:t>
            </w:r>
            <w:r w:rsidR="002822AE">
              <w:rPr>
                <w:rFonts w:ascii="Times New Roman" w:hAnsi="Times New Roman" w:cs="Times New Roman"/>
              </w:rPr>
              <w:t>omoguć</w:t>
            </w:r>
            <w:r>
              <w:rPr>
                <w:rFonts w:ascii="Times New Roman" w:hAnsi="Times New Roman" w:cs="Times New Roman"/>
              </w:rPr>
              <w:t>ena</w:t>
            </w:r>
            <w:r w:rsidR="002822AE">
              <w:rPr>
                <w:rFonts w:ascii="Times New Roman" w:hAnsi="Times New Roman" w:cs="Times New Roman"/>
              </w:rPr>
              <w:t xml:space="preserve"> instalaciju </w:t>
            </w:r>
            <w:r>
              <w:rPr>
                <w:rFonts w:ascii="Times New Roman" w:hAnsi="Times New Roman" w:cs="Times New Roman"/>
              </w:rPr>
              <w:t>OS (Windows) u skladu s njegovim potrebama</w:t>
            </w:r>
            <w:r w:rsidR="002822AE">
              <w:rPr>
                <w:rFonts w:ascii="Times New Roman" w:hAnsi="Times New Roman" w:cs="Times New Roman"/>
              </w:rPr>
              <w:t>.</w:t>
            </w: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p>
          <w:p w:rsidR="00B61DB6" w:rsidRDefault="00B61DB6" w:rsidP="00F9374D">
            <w:pPr>
              <w:rPr>
                <w:rFonts w:ascii="Times New Roman" w:hAnsi="Times New Roman" w:cs="Times New Roman"/>
              </w:rPr>
            </w:pPr>
          </w:p>
          <w:p w:rsidR="00B61DB6" w:rsidRDefault="00B61DB6" w:rsidP="00F9374D">
            <w:pPr>
              <w:rPr>
                <w:rFonts w:ascii="Times New Roman" w:hAnsi="Times New Roman" w:cs="Times New Roman"/>
              </w:rPr>
            </w:pPr>
          </w:p>
          <w:p w:rsidR="00B61DB6" w:rsidRDefault="00B61DB6" w:rsidP="00F9374D">
            <w:pPr>
              <w:rPr>
                <w:rFonts w:ascii="Times New Roman" w:hAnsi="Times New Roman" w:cs="Times New Roman"/>
              </w:rPr>
            </w:pPr>
          </w:p>
          <w:p w:rsidR="00B61DB6" w:rsidRDefault="00B61DB6" w:rsidP="00F9374D">
            <w:pPr>
              <w:rPr>
                <w:rFonts w:ascii="Times New Roman" w:hAnsi="Times New Roman" w:cs="Times New Roman"/>
              </w:rPr>
            </w:pPr>
          </w:p>
          <w:p w:rsidR="00385A93" w:rsidRDefault="00385A93" w:rsidP="00F9374D">
            <w:pPr>
              <w:rPr>
                <w:rFonts w:ascii="Times New Roman" w:hAnsi="Times New Roman" w:cs="Times New Roman"/>
              </w:rPr>
            </w:pPr>
          </w:p>
          <w:p w:rsidR="00385A93" w:rsidRDefault="00385A93" w:rsidP="00F9374D">
            <w:pPr>
              <w:rPr>
                <w:rFonts w:ascii="Times New Roman" w:hAnsi="Times New Roman" w:cs="Times New Roman"/>
              </w:rPr>
            </w:pPr>
            <w:r>
              <w:rPr>
                <w:rFonts w:ascii="Times New Roman" w:hAnsi="Times New Roman" w:cs="Times New Roman"/>
              </w:rPr>
              <w:t xml:space="preserve"> -u Tro</w:t>
            </w:r>
            <w:r w:rsidR="00850763">
              <w:rPr>
                <w:rFonts w:ascii="Times New Roman" w:hAnsi="Times New Roman" w:cs="Times New Roman"/>
              </w:rPr>
              <w:t>š</w:t>
            </w:r>
            <w:r>
              <w:rPr>
                <w:rFonts w:ascii="Times New Roman" w:hAnsi="Times New Roman" w:cs="Times New Roman"/>
              </w:rPr>
              <w:t xml:space="preserve">kovniku promijenjena količina za uslugu </w:t>
            </w:r>
            <w:r w:rsidRPr="00385A93">
              <w:rPr>
                <w:rFonts w:ascii="Times New Roman" w:hAnsi="Times New Roman" w:cs="Times New Roman"/>
              </w:rPr>
              <w:t xml:space="preserve">- podatkovno povezivanje brzine </w:t>
            </w:r>
            <w:r>
              <w:rPr>
                <w:rFonts w:ascii="Times New Roman" w:hAnsi="Times New Roman" w:cs="Times New Roman"/>
              </w:rPr>
              <w:t>10</w:t>
            </w:r>
            <w:r w:rsidRPr="00385A93">
              <w:rPr>
                <w:rFonts w:ascii="Times New Roman" w:hAnsi="Times New Roman" w:cs="Times New Roman"/>
              </w:rPr>
              <w:t>/</w:t>
            </w:r>
            <w:r>
              <w:rPr>
                <w:rFonts w:ascii="Times New Roman" w:hAnsi="Times New Roman" w:cs="Times New Roman"/>
              </w:rPr>
              <w:t>10</w:t>
            </w:r>
            <w:r w:rsidRPr="00385A93">
              <w:rPr>
                <w:rFonts w:ascii="Times New Roman" w:hAnsi="Times New Roman" w:cs="Times New Roman"/>
              </w:rPr>
              <w:t xml:space="preserve">Mbit/s– </w:t>
            </w:r>
            <w:proofErr w:type="spellStart"/>
            <w:r w:rsidRPr="00385A93">
              <w:rPr>
                <w:rFonts w:ascii="Times New Roman" w:hAnsi="Times New Roman" w:cs="Times New Roman"/>
              </w:rPr>
              <w:t>Layer</w:t>
            </w:r>
            <w:proofErr w:type="spellEnd"/>
            <w:r w:rsidRPr="00385A93">
              <w:rPr>
                <w:rFonts w:ascii="Times New Roman" w:hAnsi="Times New Roman" w:cs="Times New Roman"/>
              </w:rPr>
              <w:t xml:space="preserve"> 2</w:t>
            </w:r>
            <w:r>
              <w:rPr>
                <w:rFonts w:ascii="Times New Roman" w:hAnsi="Times New Roman" w:cs="Times New Roman"/>
              </w:rPr>
              <w:t xml:space="preserve"> iz 0 u 1</w:t>
            </w:r>
          </w:p>
          <w:p w:rsidR="00385A93" w:rsidRDefault="00385A93" w:rsidP="00F9374D">
            <w:pPr>
              <w:rPr>
                <w:rFonts w:ascii="Times New Roman" w:hAnsi="Times New Roman" w:cs="Times New Roman"/>
              </w:rPr>
            </w:pPr>
          </w:p>
          <w:p w:rsidR="00385A93" w:rsidRPr="00171039" w:rsidRDefault="00385A93" w:rsidP="008B7DBC">
            <w:pPr>
              <w:rPr>
                <w:rFonts w:ascii="Times New Roman" w:hAnsi="Times New Roman" w:cs="Times New Roman"/>
              </w:rPr>
            </w:pPr>
            <w:r>
              <w:rPr>
                <w:rFonts w:ascii="Times New Roman" w:hAnsi="Times New Roman" w:cs="Times New Roman"/>
              </w:rPr>
              <w:t xml:space="preserve">-u Troškovniku izbrisana navedena usluga </w:t>
            </w:r>
            <w:r w:rsidRPr="00385A93">
              <w:rPr>
                <w:rFonts w:ascii="Times New Roman" w:hAnsi="Times New Roman" w:cs="Times New Roman"/>
              </w:rPr>
              <w:t xml:space="preserve">- podatkovno povezivanje brzine 4/4Mbit/s– </w:t>
            </w:r>
            <w:proofErr w:type="spellStart"/>
            <w:r w:rsidRPr="00385A93">
              <w:rPr>
                <w:rFonts w:ascii="Times New Roman" w:hAnsi="Times New Roman" w:cs="Times New Roman"/>
              </w:rPr>
              <w:t>Layer</w:t>
            </w:r>
            <w:proofErr w:type="spellEnd"/>
            <w:r w:rsidRPr="00385A93">
              <w:rPr>
                <w:rFonts w:ascii="Times New Roman" w:hAnsi="Times New Roman" w:cs="Times New Roman"/>
              </w:rPr>
              <w:t xml:space="preserve"> 2</w:t>
            </w:r>
          </w:p>
        </w:tc>
      </w:tr>
    </w:tbl>
    <w:p w:rsidR="00472AF2" w:rsidRPr="00171039" w:rsidRDefault="00472AF2" w:rsidP="0077467E">
      <w:pPr>
        <w:rPr>
          <w:rFonts w:ascii="Times New Roman" w:hAnsi="Times New Roman" w:cs="Times New Roman"/>
        </w:rPr>
      </w:pPr>
    </w:p>
    <w:sectPr w:rsidR="00472AF2" w:rsidRPr="00171039" w:rsidSect="00AA1821">
      <w:footerReference w:type="default" r:id="rId12"/>
      <w:pgSz w:w="11906" w:h="16838"/>
      <w:pgMar w:top="119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1C1" w:rsidRDefault="000A61C1" w:rsidP="000A61C1">
      <w:pPr>
        <w:spacing w:after="0" w:line="240" w:lineRule="auto"/>
      </w:pPr>
      <w:r>
        <w:separator/>
      </w:r>
    </w:p>
  </w:endnote>
  <w:endnote w:type="continuationSeparator" w:id="0">
    <w:p w:rsidR="000A61C1" w:rsidRDefault="000A61C1" w:rsidP="000A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nion Pro">
    <w:altName w:val="Times New Roman"/>
    <w:charset w:val="00"/>
    <w:family w:val="auto"/>
    <w:pitch w:val="default"/>
  </w:font>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965478"/>
      <w:docPartObj>
        <w:docPartGallery w:val="Page Numbers (Bottom of Page)"/>
        <w:docPartUnique/>
      </w:docPartObj>
    </w:sdtPr>
    <w:sdtEndPr/>
    <w:sdtContent>
      <w:p w:rsidR="000A61C1" w:rsidRDefault="000A61C1">
        <w:pPr>
          <w:pStyle w:val="Footer"/>
          <w:jc w:val="right"/>
        </w:pPr>
        <w:r>
          <w:fldChar w:fldCharType="begin"/>
        </w:r>
        <w:r>
          <w:instrText>PAGE   \* MERGEFORMAT</w:instrText>
        </w:r>
        <w:r>
          <w:fldChar w:fldCharType="separate"/>
        </w:r>
        <w:r w:rsidR="006613EB">
          <w:rPr>
            <w:noProof/>
          </w:rPr>
          <w:t>7</w:t>
        </w:r>
        <w:r>
          <w:fldChar w:fldCharType="end"/>
        </w:r>
      </w:p>
    </w:sdtContent>
  </w:sdt>
  <w:p w:rsidR="000A61C1" w:rsidRDefault="000A6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1C1" w:rsidRDefault="000A61C1" w:rsidP="000A61C1">
      <w:pPr>
        <w:spacing w:after="0" w:line="240" w:lineRule="auto"/>
      </w:pPr>
      <w:r>
        <w:separator/>
      </w:r>
    </w:p>
  </w:footnote>
  <w:footnote w:type="continuationSeparator" w:id="0">
    <w:p w:rsidR="000A61C1" w:rsidRDefault="000A61C1" w:rsidP="000A6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421B"/>
    <w:multiLevelType w:val="hybridMultilevel"/>
    <w:tmpl w:val="87F06ACA"/>
    <w:lvl w:ilvl="0" w:tplc="C0EA87F0">
      <w:start w:val="1"/>
      <w:numFmt w:val="decimal"/>
      <w:lvlText w:val="%1."/>
      <w:lvlJc w:val="left"/>
      <w:pPr>
        <w:ind w:left="720" w:hanging="360"/>
      </w:pPr>
      <w:rPr>
        <w:rFonts w:ascii="Minion Pro" w:eastAsia="Calibri" w:hAnsi="Minion Pro" w:hint="default"/>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05066E01"/>
    <w:multiLevelType w:val="hybridMultilevel"/>
    <w:tmpl w:val="9C38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FE450A"/>
    <w:multiLevelType w:val="hybridMultilevel"/>
    <w:tmpl w:val="DD16484E"/>
    <w:lvl w:ilvl="0" w:tplc="CBB8CD5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48A5FF3"/>
    <w:multiLevelType w:val="hybridMultilevel"/>
    <w:tmpl w:val="0BC00B6E"/>
    <w:lvl w:ilvl="0" w:tplc="67B29D60">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91C32AF"/>
    <w:multiLevelType w:val="hybridMultilevel"/>
    <w:tmpl w:val="2D30DA5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nsid w:val="3C611D89"/>
    <w:multiLevelType w:val="hybridMultilevel"/>
    <w:tmpl w:val="22100386"/>
    <w:lvl w:ilvl="0" w:tplc="6F92A7A6">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1E65FDF"/>
    <w:multiLevelType w:val="hybridMultilevel"/>
    <w:tmpl w:val="6D221A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57728ED"/>
    <w:multiLevelType w:val="hybridMultilevel"/>
    <w:tmpl w:val="614ABCFC"/>
    <w:lvl w:ilvl="0" w:tplc="584A630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654C66A1"/>
    <w:multiLevelType w:val="hybridMultilevel"/>
    <w:tmpl w:val="0BA86F28"/>
    <w:lvl w:ilvl="0" w:tplc="D318F3B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99F39E6"/>
    <w:multiLevelType w:val="hybridMultilevel"/>
    <w:tmpl w:val="88C47106"/>
    <w:lvl w:ilvl="0" w:tplc="8EFA84EA">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7568787A"/>
    <w:multiLevelType w:val="hybridMultilevel"/>
    <w:tmpl w:val="1076E2A0"/>
    <w:lvl w:ilvl="0" w:tplc="EB9424C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7"/>
  </w:num>
  <w:num w:numId="5">
    <w:abstractNumId w:val="9"/>
  </w:num>
  <w:num w:numId="6">
    <w:abstractNumId w:val="2"/>
  </w:num>
  <w:num w:numId="7">
    <w:abstractNumId w:val="3"/>
  </w:num>
  <w:num w:numId="8">
    <w:abstractNumId w:val="5"/>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B97"/>
    <w:rsid w:val="00016D71"/>
    <w:rsid w:val="000722A4"/>
    <w:rsid w:val="0008171A"/>
    <w:rsid w:val="00096F73"/>
    <w:rsid w:val="000A61C1"/>
    <w:rsid w:val="000D174D"/>
    <w:rsid w:val="00104391"/>
    <w:rsid w:val="00105BC9"/>
    <w:rsid w:val="00171039"/>
    <w:rsid w:val="00173550"/>
    <w:rsid w:val="001809D0"/>
    <w:rsid w:val="001A42FF"/>
    <w:rsid w:val="001B1C51"/>
    <w:rsid w:val="001B44FA"/>
    <w:rsid w:val="001B6D8C"/>
    <w:rsid w:val="001E5BC2"/>
    <w:rsid w:val="001F68D9"/>
    <w:rsid w:val="00222CDF"/>
    <w:rsid w:val="002308FD"/>
    <w:rsid w:val="00242026"/>
    <w:rsid w:val="00253143"/>
    <w:rsid w:val="00257BE9"/>
    <w:rsid w:val="0027615B"/>
    <w:rsid w:val="002817B7"/>
    <w:rsid w:val="002822AE"/>
    <w:rsid w:val="00294B91"/>
    <w:rsid w:val="002D0EDC"/>
    <w:rsid w:val="00332648"/>
    <w:rsid w:val="00332AB3"/>
    <w:rsid w:val="0034058B"/>
    <w:rsid w:val="00370170"/>
    <w:rsid w:val="00383570"/>
    <w:rsid w:val="00385A93"/>
    <w:rsid w:val="00387FF5"/>
    <w:rsid w:val="003B2DF1"/>
    <w:rsid w:val="00431F49"/>
    <w:rsid w:val="00466BE3"/>
    <w:rsid w:val="00472AF2"/>
    <w:rsid w:val="0047630F"/>
    <w:rsid w:val="004A1411"/>
    <w:rsid w:val="004D3F26"/>
    <w:rsid w:val="004F50F6"/>
    <w:rsid w:val="00503EDE"/>
    <w:rsid w:val="00505E77"/>
    <w:rsid w:val="00516340"/>
    <w:rsid w:val="0052157A"/>
    <w:rsid w:val="00534611"/>
    <w:rsid w:val="0055023F"/>
    <w:rsid w:val="00550BD9"/>
    <w:rsid w:val="00582F20"/>
    <w:rsid w:val="005A0673"/>
    <w:rsid w:val="005A1531"/>
    <w:rsid w:val="005C517A"/>
    <w:rsid w:val="005C763B"/>
    <w:rsid w:val="005E331E"/>
    <w:rsid w:val="0062434D"/>
    <w:rsid w:val="006251F1"/>
    <w:rsid w:val="006613EB"/>
    <w:rsid w:val="00672757"/>
    <w:rsid w:val="006A48B0"/>
    <w:rsid w:val="006B026B"/>
    <w:rsid w:val="006B398B"/>
    <w:rsid w:val="006B6509"/>
    <w:rsid w:val="00715C0C"/>
    <w:rsid w:val="00760A6E"/>
    <w:rsid w:val="0077467E"/>
    <w:rsid w:val="007773F0"/>
    <w:rsid w:val="007A4D6A"/>
    <w:rsid w:val="007A77B7"/>
    <w:rsid w:val="00801F6D"/>
    <w:rsid w:val="00817A27"/>
    <w:rsid w:val="0083389D"/>
    <w:rsid w:val="00850763"/>
    <w:rsid w:val="00864E2D"/>
    <w:rsid w:val="00884D64"/>
    <w:rsid w:val="008B7DBC"/>
    <w:rsid w:val="008C383C"/>
    <w:rsid w:val="00995DE4"/>
    <w:rsid w:val="009A1E62"/>
    <w:rsid w:val="009C2A0D"/>
    <w:rsid w:val="009C4202"/>
    <w:rsid w:val="009C7AB4"/>
    <w:rsid w:val="009E1278"/>
    <w:rsid w:val="00A2598F"/>
    <w:rsid w:val="00A57CF0"/>
    <w:rsid w:val="00A864F3"/>
    <w:rsid w:val="00A97147"/>
    <w:rsid w:val="00AA1821"/>
    <w:rsid w:val="00AB386E"/>
    <w:rsid w:val="00AB7C5F"/>
    <w:rsid w:val="00AE2071"/>
    <w:rsid w:val="00B51A60"/>
    <w:rsid w:val="00B61DB6"/>
    <w:rsid w:val="00B8023C"/>
    <w:rsid w:val="00B875C8"/>
    <w:rsid w:val="00B92E03"/>
    <w:rsid w:val="00BB019E"/>
    <w:rsid w:val="00BB5B97"/>
    <w:rsid w:val="00BC63AC"/>
    <w:rsid w:val="00C00466"/>
    <w:rsid w:val="00C0088C"/>
    <w:rsid w:val="00C154F8"/>
    <w:rsid w:val="00C84F8E"/>
    <w:rsid w:val="00C8540C"/>
    <w:rsid w:val="00C86B9C"/>
    <w:rsid w:val="00CB72C6"/>
    <w:rsid w:val="00CC2C4B"/>
    <w:rsid w:val="00CD58DB"/>
    <w:rsid w:val="00CD6B24"/>
    <w:rsid w:val="00CE2045"/>
    <w:rsid w:val="00D45981"/>
    <w:rsid w:val="00D56F65"/>
    <w:rsid w:val="00D66D61"/>
    <w:rsid w:val="00DE6D5D"/>
    <w:rsid w:val="00E10B89"/>
    <w:rsid w:val="00E14A5C"/>
    <w:rsid w:val="00E641F7"/>
    <w:rsid w:val="00E73B51"/>
    <w:rsid w:val="00E752FF"/>
    <w:rsid w:val="00E76437"/>
    <w:rsid w:val="00EA03A0"/>
    <w:rsid w:val="00EA7AF9"/>
    <w:rsid w:val="00EB1383"/>
    <w:rsid w:val="00EC38BE"/>
    <w:rsid w:val="00EF3B04"/>
    <w:rsid w:val="00EF7A94"/>
    <w:rsid w:val="00F4087E"/>
    <w:rsid w:val="00F55995"/>
    <w:rsid w:val="00F57275"/>
    <w:rsid w:val="00F65DF6"/>
    <w:rsid w:val="00F72DF5"/>
    <w:rsid w:val="00F9374D"/>
    <w:rsid w:val="00FA316B"/>
    <w:rsid w:val="00FA4839"/>
    <w:rsid w:val="00FB0D8F"/>
    <w:rsid w:val="00FD0685"/>
    <w:rsid w:val="00FD2CE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0B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1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1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821"/>
    <w:rPr>
      <w:rFonts w:ascii="Tahoma" w:hAnsi="Tahoma" w:cs="Tahoma"/>
      <w:sz w:val="16"/>
      <w:szCs w:val="16"/>
    </w:rPr>
  </w:style>
  <w:style w:type="character" w:customStyle="1" w:styleId="ListParagraphChar">
    <w:name w:val="List Paragraph Char"/>
    <w:basedOn w:val="DefaultParagraphFont"/>
    <w:link w:val="ListParagraph"/>
    <w:uiPriority w:val="99"/>
    <w:locked/>
    <w:rsid w:val="006B026B"/>
    <w:rPr>
      <w:rFonts w:ascii="Calibri" w:hAnsi="Calibri"/>
    </w:rPr>
  </w:style>
  <w:style w:type="paragraph" w:styleId="ListParagraph">
    <w:name w:val="List Paragraph"/>
    <w:basedOn w:val="Normal"/>
    <w:link w:val="ListParagraphChar"/>
    <w:uiPriority w:val="99"/>
    <w:qFormat/>
    <w:rsid w:val="006B026B"/>
    <w:pPr>
      <w:spacing w:after="0" w:line="240" w:lineRule="auto"/>
      <w:ind w:left="720"/>
    </w:pPr>
    <w:rPr>
      <w:rFonts w:ascii="Calibri" w:hAnsi="Calibri"/>
    </w:rPr>
  </w:style>
  <w:style w:type="character" w:styleId="CommentReference">
    <w:name w:val="annotation reference"/>
    <w:basedOn w:val="DefaultParagraphFont"/>
    <w:semiHidden/>
    <w:unhideWhenUsed/>
    <w:rsid w:val="003B2DF1"/>
    <w:rPr>
      <w:sz w:val="16"/>
      <w:szCs w:val="16"/>
    </w:rPr>
  </w:style>
  <w:style w:type="paragraph" w:styleId="CommentText">
    <w:name w:val="annotation text"/>
    <w:basedOn w:val="Normal"/>
    <w:link w:val="CommentTextChar"/>
    <w:uiPriority w:val="99"/>
    <w:semiHidden/>
    <w:unhideWhenUsed/>
    <w:rsid w:val="003B2DF1"/>
    <w:pPr>
      <w:spacing w:line="240" w:lineRule="auto"/>
    </w:pPr>
    <w:rPr>
      <w:sz w:val="20"/>
      <w:szCs w:val="20"/>
    </w:rPr>
  </w:style>
  <w:style w:type="character" w:customStyle="1" w:styleId="CommentTextChar">
    <w:name w:val="Comment Text Char"/>
    <w:basedOn w:val="DefaultParagraphFont"/>
    <w:link w:val="CommentText"/>
    <w:uiPriority w:val="99"/>
    <w:semiHidden/>
    <w:rsid w:val="003B2DF1"/>
    <w:rPr>
      <w:sz w:val="20"/>
      <w:szCs w:val="20"/>
    </w:rPr>
  </w:style>
  <w:style w:type="paragraph" w:styleId="CommentSubject">
    <w:name w:val="annotation subject"/>
    <w:basedOn w:val="CommentText"/>
    <w:next w:val="CommentText"/>
    <w:link w:val="CommentSubjectChar"/>
    <w:uiPriority w:val="99"/>
    <w:semiHidden/>
    <w:unhideWhenUsed/>
    <w:rsid w:val="003B2DF1"/>
    <w:rPr>
      <w:b/>
      <w:bCs/>
    </w:rPr>
  </w:style>
  <w:style w:type="character" w:customStyle="1" w:styleId="CommentSubjectChar">
    <w:name w:val="Comment Subject Char"/>
    <w:basedOn w:val="CommentTextChar"/>
    <w:link w:val="CommentSubject"/>
    <w:uiPriority w:val="99"/>
    <w:semiHidden/>
    <w:rsid w:val="003B2DF1"/>
    <w:rPr>
      <w:b/>
      <w:bCs/>
      <w:sz w:val="20"/>
      <w:szCs w:val="20"/>
    </w:rPr>
  </w:style>
  <w:style w:type="paragraph" w:customStyle="1" w:styleId="Default">
    <w:name w:val="Default"/>
    <w:rsid w:val="009E1278"/>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link w:val="SubtitleChar"/>
    <w:uiPriority w:val="11"/>
    <w:qFormat/>
    <w:rsid w:val="000D174D"/>
    <w:pPr>
      <w:numPr>
        <w:ilvl w:val="1"/>
      </w:numPr>
      <w:spacing w:after="240" w:line="240" w:lineRule="auto"/>
    </w:pPr>
    <w:rPr>
      <w:rFonts w:ascii="Calibri Light" w:eastAsia="SimSun" w:hAnsi="Calibri Light" w:cs="Times New Roman"/>
      <w:color w:val="404040"/>
      <w:sz w:val="30"/>
      <w:szCs w:val="30"/>
      <w:lang w:eastAsia="hr-HR"/>
    </w:rPr>
  </w:style>
  <w:style w:type="character" w:customStyle="1" w:styleId="SubtitleChar">
    <w:name w:val="Subtitle Char"/>
    <w:basedOn w:val="DefaultParagraphFont"/>
    <w:link w:val="Subtitle"/>
    <w:uiPriority w:val="11"/>
    <w:rsid w:val="000D174D"/>
    <w:rPr>
      <w:rFonts w:ascii="Calibri Light" w:eastAsia="SimSun" w:hAnsi="Calibri Light" w:cs="Times New Roman"/>
      <w:color w:val="404040"/>
      <w:sz w:val="30"/>
      <w:szCs w:val="30"/>
      <w:lang w:eastAsia="hr-HR"/>
    </w:rPr>
  </w:style>
  <w:style w:type="paragraph" w:styleId="Header">
    <w:name w:val="header"/>
    <w:basedOn w:val="Normal"/>
    <w:link w:val="HeaderChar"/>
    <w:uiPriority w:val="99"/>
    <w:unhideWhenUsed/>
    <w:rsid w:val="000A61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61C1"/>
  </w:style>
  <w:style w:type="paragraph" w:styleId="Footer">
    <w:name w:val="footer"/>
    <w:basedOn w:val="Normal"/>
    <w:link w:val="FooterChar"/>
    <w:uiPriority w:val="99"/>
    <w:unhideWhenUsed/>
    <w:rsid w:val="000A61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61C1"/>
  </w:style>
  <w:style w:type="character" w:customStyle="1" w:styleId="Heading1Char">
    <w:name w:val="Heading 1 Char"/>
    <w:basedOn w:val="DefaultParagraphFont"/>
    <w:link w:val="Heading1"/>
    <w:uiPriority w:val="9"/>
    <w:rsid w:val="00E10B8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10B8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0B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1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1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821"/>
    <w:rPr>
      <w:rFonts w:ascii="Tahoma" w:hAnsi="Tahoma" w:cs="Tahoma"/>
      <w:sz w:val="16"/>
      <w:szCs w:val="16"/>
    </w:rPr>
  </w:style>
  <w:style w:type="character" w:customStyle="1" w:styleId="ListParagraphChar">
    <w:name w:val="List Paragraph Char"/>
    <w:basedOn w:val="DefaultParagraphFont"/>
    <w:link w:val="ListParagraph"/>
    <w:uiPriority w:val="99"/>
    <w:locked/>
    <w:rsid w:val="006B026B"/>
    <w:rPr>
      <w:rFonts w:ascii="Calibri" w:hAnsi="Calibri"/>
    </w:rPr>
  </w:style>
  <w:style w:type="paragraph" w:styleId="ListParagraph">
    <w:name w:val="List Paragraph"/>
    <w:basedOn w:val="Normal"/>
    <w:link w:val="ListParagraphChar"/>
    <w:uiPriority w:val="99"/>
    <w:qFormat/>
    <w:rsid w:val="006B026B"/>
    <w:pPr>
      <w:spacing w:after="0" w:line="240" w:lineRule="auto"/>
      <w:ind w:left="720"/>
    </w:pPr>
    <w:rPr>
      <w:rFonts w:ascii="Calibri" w:hAnsi="Calibri"/>
    </w:rPr>
  </w:style>
  <w:style w:type="character" w:styleId="CommentReference">
    <w:name w:val="annotation reference"/>
    <w:basedOn w:val="DefaultParagraphFont"/>
    <w:semiHidden/>
    <w:unhideWhenUsed/>
    <w:rsid w:val="003B2DF1"/>
    <w:rPr>
      <w:sz w:val="16"/>
      <w:szCs w:val="16"/>
    </w:rPr>
  </w:style>
  <w:style w:type="paragraph" w:styleId="CommentText">
    <w:name w:val="annotation text"/>
    <w:basedOn w:val="Normal"/>
    <w:link w:val="CommentTextChar"/>
    <w:uiPriority w:val="99"/>
    <w:semiHidden/>
    <w:unhideWhenUsed/>
    <w:rsid w:val="003B2DF1"/>
    <w:pPr>
      <w:spacing w:line="240" w:lineRule="auto"/>
    </w:pPr>
    <w:rPr>
      <w:sz w:val="20"/>
      <w:szCs w:val="20"/>
    </w:rPr>
  </w:style>
  <w:style w:type="character" w:customStyle="1" w:styleId="CommentTextChar">
    <w:name w:val="Comment Text Char"/>
    <w:basedOn w:val="DefaultParagraphFont"/>
    <w:link w:val="CommentText"/>
    <w:uiPriority w:val="99"/>
    <w:semiHidden/>
    <w:rsid w:val="003B2DF1"/>
    <w:rPr>
      <w:sz w:val="20"/>
      <w:szCs w:val="20"/>
    </w:rPr>
  </w:style>
  <w:style w:type="paragraph" w:styleId="CommentSubject">
    <w:name w:val="annotation subject"/>
    <w:basedOn w:val="CommentText"/>
    <w:next w:val="CommentText"/>
    <w:link w:val="CommentSubjectChar"/>
    <w:uiPriority w:val="99"/>
    <w:semiHidden/>
    <w:unhideWhenUsed/>
    <w:rsid w:val="003B2DF1"/>
    <w:rPr>
      <w:b/>
      <w:bCs/>
    </w:rPr>
  </w:style>
  <w:style w:type="character" w:customStyle="1" w:styleId="CommentSubjectChar">
    <w:name w:val="Comment Subject Char"/>
    <w:basedOn w:val="CommentTextChar"/>
    <w:link w:val="CommentSubject"/>
    <w:uiPriority w:val="99"/>
    <w:semiHidden/>
    <w:rsid w:val="003B2DF1"/>
    <w:rPr>
      <w:b/>
      <w:bCs/>
      <w:sz w:val="20"/>
      <w:szCs w:val="20"/>
    </w:rPr>
  </w:style>
  <w:style w:type="paragraph" w:customStyle="1" w:styleId="Default">
    <w:name w:val="Default"/>
    <w:rsid w:val="009E1278"/>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link w:val="SubtitleChar"/>
    <w:uiPriority w:val="11"/>
    <w:qFormat/>
    <w:rsid w:val="000D174D"/>
    <w:pPr>
      <w:numPr>
        <w:ilvl w:val="1"/>
      </w:numPr>
      <w:spacing w:after="240" w:line="240" w:lineRule="auto"/>
    </w:pPr>
    <w:rPr>
      <w:rFonts w:ascii="Calibri Light" w:eastAsia="SimSun" w:hAnsi="Calibri Light" w:cs="Times New Roman"/>
      <w:color w:val="404040"/>
      <w:sz w:val="30"/>
      <w:szCs w:val="30"/>
      <w:lang w:eastAsia="hr-HR"/>
    </w:rPr>
  </w:style>
  <w:style w:type="character" w:customStyle="1" w:styleId="SubtitleChar">
    <w:name w:val="Subtitle Char"/>
    <w:basedOn w:val="DefaultParagraphFont"/>
    <w:link w:val="Subtitle"/>
    <w:uiPriority w:val="11"/>
    <w:rsid w:val="000D174D"/>
    <w:rPr>
      <w:rFonts w:ascii="Calibri Light" w:eastAsia="SimSun" w:hAnsi="Calibri Light" w:cs="Times New Roman"/>
      <w:color w:val="404040"/>
      <w:sz w:val="30"/>
      <w:szCs w:val="30"/>
      <w:lang w:eastAsia="hr-HR"/>
    </w:rPr>
  </w:style>
  <w:style w:type="paragraph" w:styleId="Header">
    <w:name w:val="header"/>
    <w:basedOn w:val="Normal"/>
    <w:link w:val="HeaderChar"/>
    <w:uiPriority w:val="99"/>
    <w:unhideWhenUsed/>
    <w:rsid w:val="000A61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61C1"/>
  </w:style>
  <w:style w:type="paragraph" w:styleId="Footer">
    <w:name w:val="footer"/>
    <w:basedOn w:val="Normal"/>
    <w:link w:val="FooterChar"/>
    <w:uiPriority w:val="99"/>
    <w:unhideWhenUsed/>
    <w:rsid w:val="000A61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61C1"/>
  </w:style>
  <w:style w:type="character" w:customStyle="1" w:styleId="Heading1Char">
    <w:name w:val="Heading 1 Char"/>
    <w:basedOn w:val="DefaultParagraphFont"/>
    <w:link w:val="Heading1"/>
    <w:uiPriority w:val="9"/>
    <w:rsid w:val="00E10B8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10B8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5370">
      <w:bodyDiv w:val="1"/>
      <w:marLeft w:val="0"/>
      <w:marRight w:val="0"/>
      <w:marTop w:val="0"/>
      <w:marBottom w:val="0"/>
      <w:divBdr>
        <w:top w:val="none" w:sz="0" w:space="0" w:color="auto"/>
        <w:left w:val="none" w:sz="0" w:space="0" w:color="auto"/>
        <w:bottom w:val="none" w:sz="0" w:space="0" w:color="auto"/>
        <w:right w:val="none" w:sz="0" w:space="0" w:color="auto"/>
      </w:divBdr>
    </w:div>
    <w:div w:id="125466507">
      <w:bodyDiv w:val="1"/>
      <w:marLeft w:val="0"/>
      <w:marRight w:val="0"/>
      <w:marTop w:val="0"/>
      <w:marBottom w:val="0"/>
      <w:divBdr>
        <w:top w:val="none" w:sz="0" w:space="0" w:color="auto"/>
        <w:left w:val="none" w:sz="0" w:space="0" w:color="auto"/>
        <w:bottom w:val="none" w:sz="0" w:space="0" w:color="auto"/>
        <w:right w:val="none" w:sz="0" w:space="0" w:color="auto"/>
      </w:divBdr>
    </w:div>
    <w:div w:id="168914796">
      <w:bodyDiv w:val="1"/>
      <w:marLeft w:val="0"/>
      <w:marRight w:val="0"/>
      <w:marTop w:val="0"/>
      <w:marBottom w:val="0"/>
      <w:divBdr>
        <w:top w:val="none" w:sz="0" w:space="0" w:color="auto"/>
        <w:left w:val="none" w:sz="0" w:space="0" w:color="auto"/>
        <w:bottom w:val="none" w:sz="0" w:space="0" w:color="auto"/>
        <w:right w:val="none" w:sz="0" w:space="0" w:color="auto"/>
      </w:divBdr>
    </w:div>
    <w:div w:id="393090117">
      <w:bodyDiv w:val="1"/>
      <w:marLeft w:val="0"/>
      <w:marRight w:val="0"/>
      <w:marTop w:val="0"/>
      <w:marBottom w:val="0"/>
      <w:divBdr>
        <w:top w:val="none" w:sz="0" w:space="0" w:color="auto"/>
        <w:left w:val="none" w:sz="0" w:space="0" w:color="auto"/>
        <w:bottom w:val="none" w:sz="0" w:space="0" w:color="auto"/>
        <w:right w:val="none" w:sz="0" w:space="0" w:color="auto"/>
      </w:divBdr>
    </w:div>
    <w:div w:id="520435503">
      <w:bodyDiv w:val="1"/>
      <w:marLeft w:val="0"/>
      <w:marRight w:val="0"/>
      <w:marTop w:val="0"/>
      <w:marBottom w:val="0"/>
      <w:divBdr>
        <w:top w:val="none" w:sz="0" w:space="0" w:color="auto"/>
        <w:left w:val="none" w:sz="0" w:space="0" w:color="auto"/>
        <w:bottom w:val="none" w:sz="0" w:space="0" w:color="auto"/>
        <w:right w:val="none" w:sz="0" w:space="0" w:color="auto"/>
      </w:divBdr>
    </w:div>
    <w:div w:id="709458123">
      <w:bodyDiv w:val="1"/>
      <w:marLeft w:val="0"/>
      <w:marRight w:val="0"/>
      <w:marTop w:val="0"/>
      <w:marBottom w:val="0"/>
      <w:divBdr>
        <w:top w:val="none" w:sz="0" w:space="0" w:color="auto"/>
        <w:left w:val="none" w:sz="0" w:space="0" w:color="auto"/>
        <w:bottom w:val="none" w:sz="0" w:space="0" w:color="auto"/>
        <w:right w:val="none" w:sz="0" w:space="0" w:color="auto"/>
      </w:divBdr>
    </w:div>
    <w:div w:id="1316832948">
      <w:bodyDiv w:val="1"/>
      <w:marLeft w:val="0"/>
      <w:marRight w:val="0"/>
      <w:marTop w:val="0"/>
      <w:marBottom w:val="0"/>
      <w:divBdr>
        <w:top w:val="none" w:sz="0" w:space="0" w:color="auto"/>
        <w:left w:val="none" w:sz="0" w:space="0" w:color="auto"/>
        <w:bottom w:val="none" w:sz="0" w:space="0" w:color="auto"/>
        <w:right w:val="none" w:sz="0" w:space="0" w:color="auto"/>
      </w:divBdr>
    </w:div>
    <w:div w:id="1564414453">
      <w:bodyDiv w:val="1"/>
      <w:marLeft w:val="0"/>
      <w:marRight w:val="0"/>
      <w:marTop w:val="0"/>
      <w:marBottom w:val="0"/>
      <w:divBdr>
        <w:top w:val="none" w:sz="0" w:space="0" w:color="auto"/>
        <w:left w:val="none" w:sz="0" w:space="0" w:color="auto"/>
        <w:bottom w:val="none" w:sz="0" w:space="0" w:color="auto"/>
        <w:right w:val="none" w:sz="0" w:space="0" w:color="auto"/>
      </w:divBdr>
    </w:div>
    <w:div w:id="171711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web.zpr.fer.hr/ergonomija/2004/hendija/slike/grb_zg.gif" TargetMode="External"/><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4D26A-D70B-4830-BC34-D26C2168D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3561</Words>
  <Characters>20300</Characters>
  <Application>Microsoft Office Word</Application>
  <DocSecurity>0</DocSecurity>
  <Lines>169</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23814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Office1</dc:creator>
  <cp:lastModifiedBy>Kristina Vukadin</cp:lastModifiedBy>
  <cp:revision>3</cp:revision>
  <cp:lastPrinted>2017-12-28T07:17:00Z</cp:lastPrinted>
  <dcterms:created xsi:type="dcterms:W3CDTF">2017-12-29T11:28:00Z</dcterms:created>
  <dcterms:modified xsi:type="dcterms:W3CDTF">2017-12-29T11:28:00Z</dcterms:modified>
</cp:coreProperties>
</file>